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F975" w14:textId="77777777" w:rsidR="00D50098" w:rsidRDefault="00EA0894" w:rsidP="00D50098">
      <w:pPr>
        <w:rPr>
          <w:sz w:val="32"/>
          <w:szCs w:val="32"/>
        </w:rPr>
      </w:pPr>
      <w:bookmarkStart w:id="0" w:name="_GoBack"/>
      <w:bookmarkEnd w:id="0"/>
      <w:r>
        <w:rPr>
          <w:sz w:val="32"/>
          <w:szCs w:val="32"/>
        </w:rPr>
        <w:t>Ross Hill Wine Group</w:t>
      </w:r>
      <w:r w:rsidR="00D50098" w:rsidRPr="004B314A">
        <w:rPr>
          <w:sz w:val="32"/>
          <w:szCs w:val="32"/>
        </w:rPr>
        <w:t xml:space="preserve"> </w:t>
      </w:r>
    </w:p>
    <w:p w14:paraId="0E1CC1D8" w14:textId="61C81AE2" w:rsidR="00D50098" w:rsidRPr="004B314A" w:rsidRDefault="005A2191" w:rsidP="00D50098">
      <w:pPr>
        <w:rPr>
          <w:sz w:val="32"/>
          <w:szCs w:val="32"/>
        </w:rPr>
      </w:pPr>
      <w:r>
        <w:rPr>
          <w:sz w:val="32"/>
          <w:szCs w:val="32"/>
        </w:rPr>
        <w:t>July 1 2015 – June 30 2016</w:t>
      </w:r>
    </w:p>
    <w:p w14:paraId="004521C3" w14:textId="77777777" w:rsidR="000D44F0" w:rsidRPr="00FA3713" w:rsidRDefault="00071238" w:rsidP="000D44F0">
      <w:pPr>
        <w:pStyle w:val="Heading1"/>
        <w:rPr>
          <w:rFonts w:asciiTheme="minorHAnsi" w:hAnsiTheme="minorHAnsi"/>
        </w:rPr>
      </w:pPr>
      <w:bookmarkStart w:id="1" w:name="OLE_LINK1"/>
      <w:bookmarkStart w:id="2" w:name="OLE_LINK2"/>
      <w:r w:rsidRPr="00071238">
        <w:rPr>
          <w:rFonts w:asciiTheme="minorHAnsi" w:hAnsiTheme="minorHAnsi"/>
        </w:rPr>
        <w:t>Declaration</w:t>
      </w:r>
    </w:p>
    <w:p w14:paraId="772CE258" w14:textId="77777777" w:rsidR="000D44F0" w:rsidRPr="002E4A58" w:rsidRDefault="00071238" w:rsidP="000D44F0">
      <w:pPr>
        <w:rPr>
          <w:sz w:val="20"/>
          <w:szCs w:val="20"/>
        </w:rPr>
      </w:pPr>
      <w:r w:rsidRPr="002E4A58">
        <w:rPr>
          <w:sz w:val="20"/>
          <w:szCs w:val="20"/>
        </w:rPr>
        <w:t>To the best of my knowledge, the information provided in this Public Disclosure Summary is true and correct</w:t>
      </w:r>
      <w:r w:rsidR="00F31566" w:rsidRPr="002E4A58">
        <w:rPr>
          <w:sz w:val="20"/>
          <w:szCs w:val="20"/>
        </w:rPr>
        <w:t xml:space="preserve"> and meets the requirements of the National Carbon Offset Standard Carbon Neutral Program</w:t>
      </w:r>
      <w:r w:rsidRPr="002E4A58">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8" w:space="0" w:color="F8F7F2" w:themeColor="background2" w:themeTint="66"/>
          <w:insideV w:val="single" w:sz="8" w:space="0" w:color="F8F7F2" w:themeColor="background2" w:themeTint="66"/>
        </w:tblBorders>
        <w:tblLook w:val="04A0" w:firstRow="1" w:lastRow="0" w:firstColumn="1" w:lastColumn="0" w:noHBand="0" w:noVBand="1"/>
      </w:tblPr>
      <w:tblGrid>
        <w:gridCol w:w="3580"/>
        <w:gridCol w:w="5140"/>
      </w:tblGrid>
      <w:tr w:rsidR="00382F1C" w:rsidRPr="00E94D7F" w14:paraId="2989B65E" w14:textId="77777777" w:rsidTr="00B35FB9">
        <w:trPr>
          <w:cantSplit/>
          <w:trHeight w:val="340"/>
        </w:trPr>
        <w:tc>
          <w:tcPr>
            <w:tcW w:w="2053" w:type="pct"/>
          </w:tcPr>
          <w:bookmarkEnd w:id="1"/>
          <w:bookmarkEnd w:id="2"/>
          <w:p w14:paraId="0FF44621" w14:textId="1D6F0D70" w:rsidR="00382F1C" w:rsidRPr="00306406" w:rsidRDefault="00C8756E" w:rsidP="00B35FB9">
            <w:pPr>
              <w:pStyle w:val="BodyText"/>
              <w:rPr>
                <w:color w:val="A6A6A6" w:themeColor="background1" w:themeShade="A6"/>
              </w:rPr>
            </w:pPr>
            <w:r>
              <w:rPr>
                <w:noProof/>
                <w:color w:val="A6A6A6" w:themeColor="background1" w:themeShade="A6"/>
                <w:lang w:eastAsia="en-AU"/>
              </w:rPr>
              <w:drawing>
                <wp:inline distT="0" distB="0" distL="0" distR="0" wp14:anchorId="0BAD6EA3" wp14:editId="65E7E1B0">
                  <wp:extent cx="2032000" cy="622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0" cy="622300"/>
                          </a:xfrm>
                          <a:prstGeom prst="rect">
                            <a:avLst/>
                          </a:prstGeom>
                          <a:noFill/>
                          <a:ln>
                            <a:noFill/>
                          </a:ln>
                        </pic:spPr>
                      </pic:pic>
                    </a:graphicData>
                  </a:graphic>
                </wp:inline>
              </w:drawing>
            </w:r>
          </w:p>
        </w:tc>
        <w:tc>
          <w:tcPr>
            <w:tcW w:w="2947" w:type="pct"/>
          </w:tcPr>
          <w:p w14:paraId="2933211A" w14:textId="04D89DCF" w:rsidR="00382F1C" w:rsidRPr="00E06D99" w:rsidRDefault="00382F1C" w:rsidP="00B35FB9">
            <w:pPr>
              <w:pStyle w:val="BodyText"/>
              <w:rPr>
                <w:color w:val="A6A6A6" w:themeColor="background1" w:themeShade="A6"/>
              </w:rPr>
            </w:pPr>
          </w:p>
        </w:tc>
      </w:tr>
      <w:tr w:rsidR="00382F1C" w:rsidRPr="00FA4290" w14:paraId="02B799D5" w14:textId="77777777" w:rsidTr="00B35FB9">
        <w:trPr>
          <w:cantSplit/>
          <w:trHeight w:val="340"/>
        </w:trPr>
        <w:tc>
          <w:tcPr>
            <w:tcW w:w="5000" w:type="pct"/>
            <w:gridSpan w:val="2"/>
          </w:tcPr>
          <w:p w14:paraId="2325F869" w14:textId="6961A78D" w:rsidR="00382F1C" w:rsidRPr="002E6D86" w:rsidRDefault="00C8756E" w:rsidP="00B35FB9">
            <w:pPr>
              <w:pStyle w:val="BodyText"/>
              <w:rPr>
                <w:color w:val="A6A6A6" w:themeColor="background1" w:themeShade="A6"/>
              </w:rPr>
            </w:pPr>
            <w:r>
              <w:rPr>
                <w:color w:val="A6A6A6" w:themeColor="background1" w:themeShade="A6"/>
              </w:rPr>
              <w:t>James Hammond Robson</w:t>
            </w:r>
          </w:p>
        </w:tc>
      </w:tr>
      <w:tr w:rsidR="00382F1C" w:rsidRPr="00FA4290" w14:paraId="6E85EF25" w14:textId="77777777" w:rsidTr="00B35FB9">
        <w:trPr>
          <w:cantSplit/>
          <w:trHeight w:val="340"/>
        </w:trPr>
        <w:tc>
          <w:tcPr>
            <w:tcW w:w="5000" w:type="pct"/>
            <w:gridSpan w:val="2"/>
          </w:tcPr>
          <w:p w14:paraId="58953102" w14:textId="75C61AE1" w:rsidR="00382F1C" w:rsidRPr="002E6D86" w:rsidRDefault="00C8756E" w:rsidP="00B35FB9">
            <w:pPr>
              <w:pStyle w:val="BodyText"/>
              <w:rPr>
                <w:color w:val="A6A6A6" w:themeColor="background1" w:themeShade="A6"/>
              </w:rPr>
            </w:pPr>
            <w:r>
              <w:rPr>
                <w:color w:val="A6A6A6" w:themeColor="background1" w:themeShade="A6"/>
              </w:rPr>
              <w:t>Managing Director</w:t>
            </w:r>
          </w:p>
        </w:tc>
      </w:tr>
    </w:tbl>
    <w:p w14:paraId="233451FC" w14:textId="77777777" w:rsidR="00382F1C" w:rsidRDefault="00382F1C" w:rsidP="00382F1C"/>
    <w:tbl>
      <w:tblPr>
        <w:tblStyle w:val="TableGrid"/>
        <w:tblW w:w="0" w:type="auto"/>
        <w:tblLook w:val="04A0" w:firstRow="1" w:lastRow="0" w:firstColumn="1" w:lastColumn="0" w:noHBand="0" w:noVBand="1"/>
      </w:tblPr>
      <w:tblGrid>
        <w:gridCol w:w="8720"/>
      </w:tblGrid>
      <w:tr w:rsidR="00382F1C" w14:paraId="20A90212" w14:textId="77777777" w:rsidTr="00B35FB9">
        <w:tc>
          <w:tcPr>
            <w:tcW w:w="8720" w:type="dxa"/>
          </w:tcPr>
          <w:p w14:paraId="2939E79F" w14:textId="77777777" w:rsidR="00382F1C" w:rsidRDefault="00382F1C" w:rsidP="00B35FB9">
            <w:pPr>
              <w:spacing w:before="120" w:after="120" w:line="276" w:lineRule="auto"/>
            </w:pPr>
            <w:r w:rsidRPr="00C23D58">
              <w:rPr>
                <w:sz w:val="24"/>
              </w:rPr>
              <w:t>Type of carbon neutral certification:</w:t>
            </w:r>
            <w:r>
              <w:rPr>
                <w:sz w:val="24"/>
              </w:rPr>
              <w:t xml:space="preserve"> </w:t>
            </w:r>
            <w:r w:rsidR="00506FC8" w:rsidRPr="00506FC8">
              <w:t>Product</w:t>
            </w:r>
          </w:p>
          <w:p w14:paraId="2D7785A5" w14:textId="77777777" w:rsidR="00382F1C" w:rsidRPr="00C23D58" w:rsidRDefault="00382F1C" w:rsidP="00B35FB9">
            <w:pPr>
              <w:spacing w:before="120" w:after="120" w:line="276" w:lineRule="auto"/>
              <w:rPr>
                <w:sz w:val="24"/>
              </w:rPr>
            </w:pPr>
            <w:r w:rsidRPr="00C23D58">
              <w:rPr>
                <w:sz w:val="24"/>
              </w:rPr>
              <w:t>Verification</w:t>
            </w:r>
          </w:p>
          <w:p w14:paraId="5D4EDE56" w14:textId="5382CED7" w:rsidR="00382F1C" w:rsidRPr="00C23D58" w:rsidRDefault="00382F1C" w:rsidP="00B35FB9">
            <w:pPr>
              <w:pStyle w:val="Heading1"/>
              <w:spacing w:before="120"/>
              <w:outlineLvl w:val="0"/>
              <w:rPr>
                <w:rFonts w:asciiTheme="minorHAnsi" w:hAnsiTheme="minorHAnsi"/>
                <w:sz w:val="20"/>
                <w:szCs w:val="20"/>
              </w:rPr>
            </w:pPr>
            <w:r w:rsidRPr="00C23D58">
              <w:rPr>
                <w:rFonts w:asciiTheme="minorHAnsi" w:hAnsiTheme="minorHAnsi"/>
                <w:sz w:val="20"/>
                <w:szCs w:val="20"/>
              </w:rPr>
              <w:t>Date of most recent external verification</w:t>
            </w:r>
            <w:r>
              <w:rPr>
                <w:rFonts w:asciiTheme="minorHAnsi" w:hAnsiTheme="minorHAnsi"/>
                <w:sz w:val="20"/>
                <w:szCs w:val="20"/>
              </w:rPr>
              <w:t>/audit</w:t>
            </w:r>
            <w:r w:rsidRPr="00C23D58">
              <w:rPr>
                <w:rFonts w:asciiTheme="minorHAnsi" w:hAnsiTheme="minorHAnsi"/>
                <w:sz w:val="20"/>
                <w:szCs w:val="20"/>
              </w:rPr>
              <w:t>:</w:t>
            </w:r>
            <w:r w:rsidR="006E4EE7">
              <w:rPr>
                <w:rFonts w:asciiTheme="minorHAnsi" w:hAnsiTheme="minorHAnsi"/>
                <w:sz w:val="20"/>
                <w:szCs w:val="20"/>
              </w:rPr>
              <w:t xml:space="preserve"> 22/04/16</w:t>
            </w:r>
          </w:p>
          <w:p w14:paraId="653E434E" w14:textId="134D980E" w:rsidR="00382F1C" w:rsidRPr="006E4EE7" w:rsidRDefault="00382F1C" w:rsidP="00B35FB9">
            <w:pPr>
              <w:pStyle w:val="Heading1"/>
              <w:spacing w:before="120"/>
              <w:outlineLvl w:val="0"/>
              <w:rPr>
                <w:rFonts w:asciiTheme="minorHAnsi" w:hAnsiTheme="minorHAnsi"/>
                <w:sz w:val="20"/>
                <w:szCs w:val="20"/>
                <w:lang w:val="en-US"/>
              </w:rPr>
            </w:pPr>
            <w:r w:rsidRPr="00C23D58">
              <w:rPr>
                <w:rFonts w:asciiTheme="minorHAnsi" w:hAnsiTheme="minorHAnsi"/>
                <w:sz w:val="20"/>
                <w:szCs w:val="20"/>
              </w:rPr>
              <w:t>Auditor:</w:t>
            </w:r>
            <w:r w:rsidR="006E4EE7">
              <w:rPr>
                <w:rFonts w:asciiTheme="minorHAnsi" w:hAnsiTheme="minorHAnsi"/>
                <w:sz w:val="20"/>
                <w:szCs w:val="20"/>
              </w:rPr>
              <w:t xml:space="preserve"> Benjamin Jenkins, GPP – RGEA 0129/2011</w:t>
            </w:r>
          </w:p>
        </w:tc>
      </w:tr>
    </w:tbl>
    <w:p w14:paraId="0EC13440" w14:textId="77777777" w:rsidR="00D50098" w:rsidRPr="00635C76" w:rsidRDefault="005E5675" w:rsidP="00D50098">
      <w:pPr>
        <w:pStyle w:val="Heading1"/>
      </w:pPr>
      <w:r>
        <w:br w:type="page"/>
      </w:r>
      <w:r w:rsidR="00E5352A">
        <w:lastRenderedPageBreak/>
        <w:t xml:space="preserve"> </w:t>
      </w:r>
      <w:r w:rsidR="00D50098">
        <w:t xml:space="preserve">1. </w:t>
      </w:r>
      <w:r w:rsidR="00ED26D2">
        <w:t>C</w:t>
      </w:r>
      <w:r w:rsidR="00D50098">
        <w:t>arbon neutral information</w:t>
      </w:r>
    </w:p>
    <w:p w14:paraId="24FE2835" w14:textId="77777777" w:rsidR="004C78CD" w:rsidRPr="00874D9E" w:rsidRDefault="005E5675" w:rsidP="005E5675">
      <w:pPr>
        <w:spacing w:before="200"/>
        <w:rPr>
          <w:sz w:val="28"/>
          <w:szCs w:val="28"/>
          <w:u w:val="single"/>
        </w:rPr>
      </w:pPr>
      <w:r w:rsidRPr="00874D9E">
        <w:rPr>
          <w:sz w:val="28"/>
          <w:szCs w:val="28"/>
          <w:u w:val="single"/>
        </w:rPr>
        <w:t>Introduction</w:t>
      </w:r>
    </w:p>
    <w:sdt>
      <w:sdtPr>
        <w:rPr>
          <w:rFonts w:ascii="Verdana" w:hAnsi="Verdana"/>
          <w:lang w:eastAsia="en-AU"/>
        </w:rPr>
        <w:id w:val="-1209412276"/>
      </w:sdtPr>
      <w:sdtEndPr>
        <w:rPr>
          <w:rFonts w:asciiTheme="minorHAnsi" w:hAnsiTheme="minorHAnsi"/>
        </w:rPr>
      </w:sdtEndPr>
      <w:sdtContent>
        <w:p w14:paraId="4559527E" w14:textId="77777777" w:rsidR="00506FC8" w:rsidRDefault="00506FC8" w:rsidP="00506FC8">
          <w:pPr>
            <w:pStyle w:val="BodyText"/>
            <w:rPr>
              <w:lang w:eastAsia="en-AU"/>
            </w:rPr>
          </w:pPr>
          <w:r w:rsidRPr="00021C5E">
            <w:rPr>
              <w:lang w:eastAsia="en-AU"/>
            </w:rPr>
            <w:t>The Ross Hill Wine Group roots were firmly planted in 1994 by Peter and Terri Robson. Joined by their son James and wife Chrissy in 2006 to continue the hard work, passion and dedication to produce exceptional quality and elegantly refined</w:t>
          </w:r>
          <w:r>
            <w:rPr>
              <w:lang w:eastAsia="en-AU"/>
            </w:rPr>
            <w:t>, cool climate Ross Hill Wines.</w:t>
          </w:r>
        </w:p>
        <w:p w14:paraId="0EBE926E" w14:textId="77777777" w:rsidR="00506FC8" w:rsidRPr="00021C5E" w:rsidRDefault="00506FC8" w:rsidP="00506FC8">
          <w:pPr>
            <w:pStyle w:val="BodyText"/>
            <w:rPr>
              <w:lang w:eastAsia="en-AU"/>
            </w:rPr>
          </w:pPr>
          <w:r w:rsidRPr="00021C5E">
            <w:rPr>
              <w:lang w:eastAsia="en-AU"/>
            </w:rPr>
            <w:t xml:space="preserve">In 2008 wine making duo Phil and Rochelle </w:t>
          </w:r>
          <w:proofErr w:type="spellStart"/>
          <w:r w:rsidRPr="00021C5E">
            <w:rPr>
              <w:lang w:eastAsia="en-AU"/>
            </w:rPr>
            <w:t>Kerney</w:t>
          </w:r>
          <w:proofErr w:type="spellEnd"/>
          <w:r w:rsidRPr="00021C5E">
            <w:rPr>
              <w:lang w:eastAsia="en-AU"/>
            </w:rPr>
            <w:t xml:space="preserve"> joined the family. Phil brings with him 15 years of wine making experience both in Australia and Internationally. Rochelle has been by Phil’s side through much of his winemaking journey and is herself working towards her own qualification as a winemaker. The </w:t>
          </w:r>
          <w:proofErr w:type="spellStart"/>
          <w:r w:rsidRPr="00021C5E">
            <w:rPr>
              <w:lang w:eastAsia="en-AU"/>
            </w:rPr>
            <w:t>Kerney’s</w:t>
          </w:r>
          <w:proofErr w:type="spellEnd"/>
          <w:r w:rsidRPr="00021C5E">
            <w:rPr>
              <w:lang w:eastAsia="en-AU"/>
            </w:rPr>
            <w:t xml:space="preserve"> have brought with them an enormous amount of passion, care and knowledge of wine and the winemaking process, which fits perfectly into our family mould. In 2014 Phil &amp; Rochelle were recognised by Gourmet Traveller Wine magazine as winemaker(s) of the year finalists.</w:t>
          </w:r>
        </w:p>
        <w:p w14:paraId="40043398" w14:textId="77777777" w:rsidR="00506FC8" w:rsidRDefault="00506FC8" w:rsidP="00506FC8">
          <w:pPr>
            <w:pStyle w:val="BodyText"/>
            <w:rPr>
              <w:lang w:eastAsia="en-AU"/>
            </w:rPr>
          </w:pPr>
          <w:r w:rsidRPr="00021C5E">
            <w:rPr>
              <w:lang w:eastAsia="en-AU"/>
            </w:rPr>
            <w:t>The Ross Hill Vineyard is situated on the gentle north facing slopes of Griffin Rd, Orange at an elevation ranging from 750 to 850 metres. Such elevation presents its self in our wines that are so distinctively high alt</w:t>
          </w:r>
          <w:r>
            <w:rPr>
              <w:lang w:eastAsia="en-AU"/>
            </w:rPr>
            <w:t>itude and cool climate produce.</w:t>
          </w:r>
        </w:p>
        <w:p w14:paraId="7C3C1972" w14:textId="77777777" w:rsidR="00506FC8" w:rsidRPr="00021C5E" w:rsidRDefault="00506FC8" w:rsidP="00506FC8">
          <w:pPr>
            <w:pStyle w:val="BodyText"/>
            <w:rPr>
              <w:lang w:eastAsia="en-AU"/>
            </w:rPr>
          </w:pPr>
          <w:r w:rsidRPr="00021C5E">
            <w:rPr>
              <w:lang w:eastAsia="en-AU"/>
            </w:rPr>
            <w:t>Covering the hills with 12 hectares (ha) of established vine we are able to grow the majority of the grapes used in our wines. Ross Hill white wine varieties include Chardonnay &amp; Sauvignon Blanc, and the iconic red styles of Merlot, Shiraz and Cabernet Franc, Cabernet Sauvignon and Cabernet Shiraz.</w:t>
          </w:r>
        </w:p>
        <w:p w14:paraId="28A91257" w14:textId="264653D9" w:rsidR="00506FC8" w:rsidRDefault="00506FC8" w:rsidP="00506FC8">
          <w:pPr>
            <w:pStyle w:val="BodyText"/>
            <w:rPr>
              <w:lang w:eastAsia="en-AU"/>
            </w:rPr>
          </w:pPr>
          <w:r w:rsidRPr="00021C5E">
            <w:rPr>
              <w:lang w:eastAsia="en-AU"/>
            </w:rPr>
            <w:t xml:space="preserve">To complement the Ross Hill vineyard was the planting in 2008 of 5 more hectares of vine in the fertile volcanic basalt soils at </w:t>
          </w:r>
          <w:r w:rsidR="00FB0AB4">
            <w:rPr>
              <w:lang w:eastAsia="en-AU"/>
            </w:rPr>
            <w:t>Ross Hill</w:t>
          </w:r>
          <w:r w:rsidRPr="00021C5E">
            <w:rPr>
              <w:lang w:eastAsia="en-AU"/>
            </w:rPr>
            <w:t xml:space="preserve">. With an even higher altitude at 1018 metres above sea level, it is one of the highest and coldest vineyards in Australia. These vines are the Sauvignon Blanc, Pinot Gris and Pinot Noir and are the perfect </w:t>
          </w:r>
          <w:r>
            <w:rPr>
              <w:lang w:eastAsia="en-AU"/>
            </w:rPr>
            <w:t>conditions for these varieties.</w:t>
          </w:r>
        </w:p>
        <w:p w14:paraId="79316B0B" w14:textId="77777777" w:rsidR="00506FC8" w:rsidRDefault="00506FC8" w:rsidP="00506FC8">
          <w:pPr>
            <w:pStyle w:val="BodyText"/>
            <w:rPr>
              <w:lang w:eastAsia="en-AU"/>
            </w:rPr>
          </w:pPr>
          <w:r w:rsidRPr="00021C5E">
            <w:rPr>
              <w:lang w:eastAsia="en-AU"/>
            </w:rPr>
            <w:t>All 17ha of vine are handled with the utmost care by being hand pruned to maintain the exceptional quality and flavour that carry through to our wines. We pride ourselves on our quality not the quantity.</w:t>
          </w:r>
        </w:p>
        <w:p w14:paraId="77E48439" w14:textId="77777777" w:rsidR="00506FC8" w:rsidRPr="00021C5E" w:rsidRDefault="00506FC8" w:rsidP="00506FC8">
          <w:pPr>
            <w:pStyle w:val="BodyText"/>
            <w:rPr>
              <w:lang w:eastAsia="en-AU"/>
            </w:rPr>
          </w:pPr>
          <w:r w:rsidRPr="00021C5E">
            <w:rPr>
              <w:lang w:eastAsia="en-AU"/>
            </w:rPr>
            <w:t>Our environmental policy sees no use of insecticides and reduced irrigation impact by a program of mulching cover crops planted between the rows between autumn and winter.</w:t>
          </w:r>
        </w:p>
        <w:p w14:paraId="75172827" w14:textId="2BCFC13B" w:rsidR="00506FC8" w:rsidRPr="00021C5E" w:rsidRDefault="00506FC8" w:rsidP="00506FC8">
          <w:pPr>
            <w:pStyle w:val="BodyText"/>
            <w:rPr>
              <w:lang w:eastAsia="en-AU"/>
            </w:rPr>
          </w:pPr>
          <w:r>
            <w:rPr>
              <w:lang w:eastAsia="en-AU"/>
            </w:rPr>
            <w:t xml:space="preserve">In 2015 </w:t>
          </w:r>
          <w:r w:rsidR="00FB0AB4">
            <w:rPr>
              <w:lang w:eastAsia="en-AU"/>
            </w:rPr>
            <w:t>Ross Hill</w:t>
          </w:r>
          <w:r>
            <w:rPr>
              <w:lang w:eastAsia="en-AU"/>
            </w:rPr>
            <w:t xml:space="preserve"> Wines became the first NCOS certified carbon neutral winery. </w:t>
          </w:r>
          <w:r w:rsidR="00FB0AB4">
            <w:rPr>
              <w:lang w:eastAsia="en-AU"/>
            </w:rPr>
            <w:t>Ross Hill</w:t>
          </w:r>
          <w:r>
            <w:rPr>
              <w:lang w:eastAsia="en-AU"/>
            </w:rPr>
            <w:t xml:space="preserve"> Wines has now extended its NCOS certification, previously for operations to include its products.</w:t>
          </w:r>
        </w:p>
        <w:p w14:paraId="146C4E9E" w14:textId="70084E8A" w:rsidR="00506FC8" w:rsidRPr="00021C5E" w:rsidRDefault="00506FC8" w:rsidP="00506FC8">
          <w:pPr>
            <w:pStyle w:val="BodyText"/>
            <w:rPr>
              <w:lang w:eastAsia="en-AU"/>
            </w:rPr>
          </w:pPr>
          <w:r w:rsidRPr="00021C5E">
            <w:rPr>
              <w:lang w:eastAsia="en-AU"/>
            </w:rPr>
            <w:t>Consider</w:t>
          </w:r>
          <w:r>
            <w:rPr>
              <w:lang w:eastAsia="en-AU"/>
            </w:rPr>
            <w:t xml:space="preserve">ing the large number of wine varieties offered by </w:t>
          </w:r>
          <w:r w:rsidR="00FB0AB4">
            <w:rPr>
              <w:lang w:eastAsia="en-AU"/>
            </w:rPr>
            <w:t>Ross Hill</w:t>
          </w:r>
          <w:r>
            <w:rPr>
              <w:lang w:eastAsia="en-AU"/>
            </w:rPr>
            <w:t xml:space="preserve"> Wines,</w:t>
          </w:r>
          <w:r w:rsidRPr="00021C5E">
            <w:rPr>
              <w:lang w:eastAsia="en-AU"/>
            </w:rPr>
            <w:t xml:space="preserve"> it was not practical or cost effective to carry out separate LCAs for</w:t>
          </w:r>
          <w:r>
            <w:rPr>
              <w:lang w:eastAsia="en-AU"/>
            </w:rPr>
            <w:t xml:space="preserve"> each variety of wine</w:t>
          </w:r>
          <w:r w:rsidRPr="00021C5E">
            <w:rPr>
              <w:lang w:eastAsia="en-AU"/>
            </w:rPr>
            <w:t>. Our approach was therefore to define a gener</w:t>
          </w:r>
          <w:r>
            <w:rPr>
              <w:lang w:eastAsia="en-AU"/>
            </w:rPr>
            <w:t xml:space="preserve">ic bottled wine product to </w:t>
          </w:r>
          <w:r w:rsidRPr="00021C5E">
            <w:rPr>
              <w:lang w:eastAsia="en-AU"/>
            </w:rPr>
            <w:t>rep</w:t>
          </w:r>
          <w:r>
            <w:rPr>
              <w:lang w:eastAsia="en-AU"/>
            </w:rPr>
            <w:t>resent the entire product range, which includes both red and white wine varieties.</w:t>
          </w:r>
        </w:p>
        <w:p w14:paraId="1A10ACFC" w14:textId="77777777" w:rsidR="00506FC8" w:rsidRPr="00021C5E" w:rsidRDefault="00506FC8" w:rsidP="00506FC8">
          <w:pPr>
            <w:pStyle w:val="BodyText"/>
            <w:rPr>
              <w:lang w:eastAsia="en-AU"/>
            </w:rPr>
          </w:pPr>
          <w:r w:rsidRPr="00021C5E">
            <w:rPr>
              <w:lang w:eastAsia="en-AU"/>
            </w:rPr>
            <w:t>A hybrid LCA methodology is used. This uses a combination of direct LCA data (material consumption data) and data from an input-output analysis (based on $ value of expenditure). Input-output analysis provides a complete assessment of all inputs to the pro</w:t>
          </w:r>
          <w:r>
            <w:rPr>
              <w:lang w:eastAsia="en-AU"/>
            </w:rPr>
            <w:t>curement and delivery of bottled wine to customers</w:t>
          </w:r>
          <w:r w:rsidRPr="00021C5E">
            <w:rPr>
              <w:lang w:eastAsia="en-AU"/>
            </w:rPr>
            <w:t>. To summarise the hybrid approach:</w:t>
          </w:r>
        </w:p>
        <w:p w14:paraId="0CC9121F" w14:textId="3F4B142A" w:rsidR="00506FC8" w:rsidRPr="00021C5E" w:rsidRDefault="00506FC8" w:rsidP="00506FC8">
          <w:pPr>
            <w:pStyle w:val="BodyText"/>
            <w:rPr>
              <w:lang w:eastAsia="en-AU"/>
            </w:rPr>
          </w:pPr>
          <w:r w:rsidRPr="00021C5E">
            <w:rPr>
              <w:lang w:eastAsia="en-AU"/>
            </w:rPr>
            <w:t xml:space="preserve">The depth of the input-output analysis approach covers the entire upstream supply chain. The input output analysis applies an infinite supply chain to all upstream emissions. This means that no boundary needs to be set of up. The breadth of this approach covers all supply chain inputs including materials and services required to operate </w:t>
          </w:r>
          <w:r w:rsidR="00FB0AB4">
            <w:rPr>
              <w:lang w:eastAsia="en-AU"/>
            </w:rPr>
            <w:t>Ross Hill</w:t>
          </w:r>
          <w:r>
            <w:rPr>
              <w:lang w:eastAsia="en-AU"/>
            </w:rPr>
            <w:t>’s</w:t>
          </w:r>
          <w:r w:rsidRPr="00021C5E">
            <w:rPr>
              <w:lang w:eastAsia="en-AU"/>
            </w:rPr>
            <w:t xml:space="preserve"> business</w:t>
          </w:r>
          <w:r>
            <w:rPr>
              <w:lang w:eastAsia="en-AU"/>
            </w:rPr>
            <w:t xml:space="preserve"> operations and the production of wine sold to customers.</w:t>
          </w:r>
        </w:p>
        <w:p w14:paraId="18C8E92F" w14:textId="77777777" w:rsidR="00506FC8" w:rsidRPr="00021C5E" w:rsidRDefault="00506FC8" w:rsidP="00506FC8">
          <w:pPr>
            <w:pStyle w:val="BodyText"/>
            <w:rPr>
              <w:lang w:eastAsia="en-AU"/>
            </w:rPr>
          </w:pPr>
          <w:r>
            <w:rPr>
              <w:lang w:eastAsia="en-AU"/>
            </w:rPr>
            <w:lastRenderedPageBreak/>
            <w:t>The s</w:t>
          </w:r>
          <w:r w:rsidRPr="00021C5E">
            <w:rPr>
              <w:lang w:eastAsia="en-AU"/>
            </w:rPr>
            <w:t>cope 3 emissions of imported goods are also included in the analysis, calculated as if they were produced under Australian production conditions.</w:t>
          </w:r>
        </w:p>
        <w:p w14:paraId="6EA67335" w14:textId="77777777" w:rsidR="00506FC8" w:rsidRPr="00021C5E" w:rsidRDefault="00506FC8" w:rsidP="00506FC8">
          <w:pPr>
            <w:pStyle w:val="BodyText"/>
            <w:rPr>
              <w:lang w:eastAsia="en-AU"/>
            </w:rPr>
          </w:pPr>
          <w:r w:rsidRPr="00021C5E">
            <w:rPr>
              <w:lang w:eastAsia="en-AU"/>
            </w:rPr>
            <w:t xml:space="preserve">Input output analysis data (based on $ value of expenditure) is replaced by primary usage data for petrol, </w:t>
          </w:r>
          <w:r>
            <w:rPr>
              <w:lang w:eastAsia="en-AU"/>
            </w:rPr>
            <w:t xml:space="preserve">gas, electricity, </w:t>
          </w:r>
          <w:r w:rsidRPr="00021C5E">
            <w:rPr>
              <w:lang w:eastAsia="en-AU"/>
            </w:rPr>
            <w:t>waste</w:t>
          </w:r>
          <w:r>
            <w:rPr>
              <w:lang w:eastAsia="en-AU"/>
            </w:rPr>
            <w:t>, recycling</w:t>
          </w:r>
          <w:r w:rsidRPr="00021C5E">
            <w:rPr>
              <w:lang w:eastAsia="en-AU"/>
            </w:rPr>
            <w:t>. When primary consumption data is available, the input output emission factors were replaced by emission factors from other sources such as the NGER (Measurement) Technical Guidelines, NGA factors and other LCA databases.</w:t>
          </w:r>
        </w:p>
        <w:p w14:paraId="029EAEDF" w14:textId="277463C3" w:rsidR="00506FC8" w:rsidRDefault="00506FC8" w:rsidP="00506FC8">
          <w:pPr>
            <w:pStyle w:val="BodyText"/>
            <w:rPr>
              <w:lang w:eastAsia="en-AU"/>
            </w:rPr>
          </w:pPr>
          <w:r w:rsidRPr="00021C5E">
            <w:rPr>
              <w:lang w:eastAsia="en-AU"/>
            </w:rPr>
            <w:t>Input output analysis data (based on $ value of expenditure) is replaced by prim</w:t>
          </w:r>
          <w:r>
            <w:rPr>
              <w:lang w:eastAsia="en-AU"/>
            </w:rPr>
            <w:t>ary consumption data for glass wine bottles</w:t>
          </w:r>
          <w:r w:rsidRPr="00021C5E">
            <w:rPr>
              <w:lang w:eastAsia="en-AU"/>
            </w:rPr>
            <w:t>. In this case,</w:t>
          </w:r>
          <w:r>
            <w:rPr>
              <w:lang w:eastAsia="en-AU"/>
            </w:rPr>
            <w:t xml:space="preserve"> the emission factor for glass wine bottles</w:t>
          </w:r>
          <w:r w:rsidRPr="00021C5E">
            <w:rPr>
              <w:lang w:eastAsia="en-AU"/>
            </w:rPr>
            <w:t xml:space="preserve"> from</w:t>
          </w:r>
          <w:r>
            <w:rPr>
              <w:lang w:eastAsia="en-AU"/>
            </w:rPr>
            <w:t xml:space="preserve"> a cradle to grave LCA Analysis conducted by </w:t>
          </w:r>
          <w:r w:rsidR="00FB0AB4">
            <w:rPr>
              <w:lang w:eastAsia="en-AU"/>
            </w:rPr>
            <w:t>Ross Hill</w:t>
          </w:r>
          <w:r>
            <w:rPr>
              <w:rFonts w:hint="eastAsia"/>
              <w:lang w:eastAsia="en-AU"/>
            </w:rPr>
            <w:t>’</w:t>
          </w:r>
          <w:r>
            <w:rPr>
              <w:lang w:eastAsia="en-AU"/>
            </w:rPr>
            <w:t xml:space="preserve">s supplier of glass wine bottles. For grapes used in the production of </w:t>
          </w:r>
          <w:r w:rsidR="00FB0AB4">
            <w:rPr>
              <w:lang w:eastAsia="en-AU"/>
            </w:rPr>
            <w:t>Ross Hill</w:t>
          </w:r>
          <w:r>
            <w:rPr>
              <w:lang w:eastAsia="en-AU"/>
            </w:rPr>
            <w:t xml:space="preserve"> Wine varieties, an industry average emission factor for grape growing in the Input-Output Analysis model was used.</w:t>
          </w:r>
        </w:p>
        <w:p w14:paraId="1CA742CF" w14:textId="77777777" w:rsidR="00506FC8" w:rsidRPr="00021C5E" w:rsidRDefault="00506FC8" w:rsidP="00506FC8">
          <w:pPr>
            <w:pStyle w:val="BodyText"/>
            <w:rPr>
              <w:lang w:eastAsia="en-AU"/>
            </w:rPr>
          </w:pPr>
          <w:r w:rsidRPr="00021C5E">
            <w:rPr>
              <w:lang w:eastAsia="en-AU"/>
            </w:rPr>
            <w:t>The hybrid LCA provides a bottom up analysis of life cycle impacts where primary usage data and appropriate emission factors are available and a top down analysis of supply chain impacts from input output analysis where Scope 3 emission factors are not readily available.</w:t>
          </w:r>
        </w:p>
        <w:p w14:paraId="57BAAF9B" w14:textId="77777777" w:rsidR="00506FC8" w:rsidRPr="00021C5E" w:rsidRDefault="00506FC8" w:rsidP="00506FC8">
          <w:pPr>
            <w:pStyle w:val="BodyText"/>
            <w:rPr>
              <w:lang w:eastAsia="en-AU"/>
            </w:rPr>
          </w:pPr>
          <w:r w:rsidRPr="00021C5E">
            <w:rPr>
              <w:lang w:eastAsia="en-AU"/>
            </w:rPr>
            <w:t xml:space="preserve">The functional unit for the LCA is </w:t>
          </w:r>
          <w:r>
            <w:rPr>
              <w:lang w:eastAsia="en-AU"/>
            </w:rPr>
            <w:t>a single 750 ml bottle of wine sold to customers</w:t>
          </w:r>
          <w:r w:rsidRPr="00021C5E">
            <w:rPr>
              <w:lang w:eastAsia="en-AU"/>
            </w:rPr>
            <w:t>.</w:t>
          </w:r>
        </w:p>
      </w:sdtContent>
    </w:sdt>
    <w:p w14:paraId="2FEFA4D3" w14:textId="77777777" w:rsidR="00506FC8" w:rsidRDefault="00506FC8" w:rsidP="00506FC8">
      <w:pPr>
        <w:spacing w:before="200"/>
        <w:rPr>
          <w:sz w:val="28"/>
          <w:szCs w:val="28"/>
          <w:u w:val="single"/>
        </w:rPr>
      </w:pPr>
      <w:r w:rsidRPr="00874D9E">
        <w:rPr>
          <w:sz w:val="28"/>
          <w:szCs w:val="28"/>
          <w:u w:val="single"/>
        </w:rPr>
        <w:t xml:space="preserve">Emission sources </w:t>
      </w:r>
      <w:r>
        <w:rPr>
          <w:sz w:val="28"/>
          <w:szCs w:val="28"/>
          <w:u w:val="single"/>
        </w:rPr>
        <w:t>within certification boundary</w:t>
      </w:r>
    </w:p>
    <w:p w14:paraId="1793127D" w14:textId="77777777" w:rsidR="00506FC8" w:rsidRDefault="00506FC8" w:rsidP="00506FC8">
      <w:pPr>
        <w:pStyle w:val="BodyText"/>
      </w:pPr>
      <w:r w:rsidRPr="001B3785">
        <w:t>The scope of this Life Cycle Assessment (LCA) rel</w:t>
      </w:r>
      <w:r>
        <w:t>ates to all products sold by Ross Hill Wines</w:t>
      </w:r>
      <w:r w:rsidRPr="001B3785">
        <w:t xml:space="preserve"> and does not provide details for separate product lines. The complexity</w:t>
      </w:r>
      <w:r>
        <w:t xml:space="preserve"> and cost of a full LCA on each wine variety</w:t>
      </w:r>
      <w:r w:rsidRPr="001B3785">
        <w:t xml:space="preserve"> ruled out a detailed analysis.</w:t>
      </w:r>
      <w:r>
        <w:t xml:space="preserve"> All wine bottled by Ross Hill Wines in the period 2014 – 2015 will have emissions offset. This means that the entire product range (all vintages, red and white wines) will be carbon neutral.</w:t>
      </w:r>
    </w:p>
    <w:p w14:paraId="0039051A" w14:textId="77777777" w:rsidR="00506FC8" w:rsidRPr="001B3785" w:rsidRDefault="00506FC8" w:rsidP="00506FC8">
      <w:pPr>
        <w:pStyle w:val="BodyText"/>
      </w:pPr>
      <w:r>
        <w:t>The two largest inputs to wine making is glass wine bottles and grape growing. In this case an emission factor for glass bottles from the LCA carried out by Ross Hill’s bottle manufacture was used. An industry average factor for grape growing based on Input-Output Analysis is was also used.</w:t>
      </w:r>
    </w:p>
    <w:p w14:paraId="2685790F" w14:textId="7A9BC973" w:rsidR="00506FC8" w:rsidRPr="001B3785" w:rsidRDefault="00506FC8" w:rsidP="00506FC8">
      <w:pPr>
        <w:pStyle w:val="BodyText"/>
      </w:pPr>
      <w:r w:rsidRPr="001B3785">
        <w:t xml:space="preserve">The system boundary of this analysis is from </w:t>
      </w:r>
      <w:r w:rsidRPr="001B3785">
        <w:rPr>
          <w:i/>
        </w:rPr>
        <w:t>Cradle to Grave</w:t>
      </w:r>
      <w:r w:rsidRPr="001B3785">
        <w:t xml:space="preserve"> and includes </w:t>
      </w:r>
      <w:r>
        <w:t xml:space="preserve">all activities in grape </w:t>
      </w:r>
      <w:r w:rsidRPr="001B3785">
        <w:t>g</w:t>
      </w:r>
      <w:r>
        <w:t xml:space="preserve">rowing, wine making, bottling and distribution to customers. </w:t>
      </w:r>
      <w:r w:rsidRPr="001B3785">
        <w:t>The LCA also includes corporate emissions</w:t>
      </w:r>
      <w:r>
        <w:t xml:space="preserve"> that arise from running Ross Hill’s</w:t>
      </w:r>
      <w:r w:rsidRPr="001B3785">
        <w:t xml:space="preserve"> business (Scope 1, </w:t>
      </w:r>
      <w:r>
        <w:t>2 and 3). The boundary includes recycling of wine bottles (this has been accounted for in the LCA conducted by the glass bottle manufacturer). However, emissions from consumption activities such as retain</w:t>
      </w:r>
      <w:r w:rsidR="00DA46F0">
        <w:t>ed</w:t>
      </w:r>
      <w:r>
        <w:t xml:space="preserve"> purchases, transport and refrigeration are too difficult to track and have been excluded.</w:t>
      </w:r>
    </w:p>
    <w:p w14:paraId="6981FA48" w14:textId="2EC88466" w:rsidR="00506FC8" w:rsidRPr="009A4419" w:rsidRDefault="00DA46F0" w:rsidP="00506FC8">
      <w:pPr>
        <w:spacing w:before="200"/>
        <w:rPr>
          <w:sz w:val="28"/>
          <w:szCs w:val="28"/>
        </w:rPr>
      </w:pPr>
      <w:r>
        <w:rPr>
          <w:sz w:val="28"/>
          <w:szCs w:val="28"/>
        </w:rPr>
        <w:t>Included emission</w:t>
      </w:r>
      <w:r w:rsidR="00506FC8">
        <w:rPr>
          <w:sz w:val="28"/>
          <w:szCs w:val="28"/>
        </w:rPr>
        <w:t xml:space="preserve"> sources</w:t>
      </w:r>
    </w:p>
    <w:p w14:paraId="3A6B8F79" w14:textId="77777777" w:rsidR="00506FC8" w:rsidRDefault="00506FC8" w:rsidP="00506FC8">
      <w:pPr>
        <w:spacing w:before="200"/>
        <w:rPr>
          <w:szCs w:val="20"/>
        </w:rPr>
      </w:pPr>
      <w:r w:rsidRPr="001B3785">
        <w:rPr>
          <w:szCs w:val="20"/>
        </w:rPr>
        <w:t>The following emission sources have been included:</w:t>
      </w:r>
    </w:p>
    <w:p w14:paraId="13817875" w14:textId="1FD05944" w:rsidR="006A7C51" w:rsidRDefault="006A7C51" w:rsidP="00506FC8">
      <w:pPr>
        <w:pStyle w:val="ListParagraph"/>
        <w:numPr>
          <w:ilvl w:val="0"/>
          <w:numId w:val="7"/>
        </w:numPr>
        <w:spacing w:before="200"/>
        <w:rPr>
          <w:szCs w:val="20"/>
        </w:rPr>
      </w:pPr>
      <w:r>
        <w:rPr>
          <w:szCs w:val="20"/>
        </w:rPr>
        <w:t>Glass wine bottles, caps and labels</w:t>
      </w:r>
    </w:p>
    <w:p w14:paraId="4B6BDD56" w14:textId="43865541" w:rsidR="00506FC8" w:rsidRDefault="00506FC8" w:rsidP="00506FC8">
      <w:pPr>
        <w:pStyle w:val="ListParagraph"/>
        <w:numPr>
          <w:ilvl w:val="0"/>
          <w:numId w:val="7"/>
        </w:numPr>
        <w:spacing w:before="200"/>
        <w:rPr>
          <w:szCs w:val="20"/>
        </w:rPr>
      </w:pPr>
      <w:r>
        <w:rPr>
          <w:szCs w:val="20"/>
        </w:rPr>
        <w:t>Grapes purchased from growers and Ross Hill vineyards</w:t>
      </w:r>
    </w:p>
    <w:p w14:paraId="04FD4686" w14:textId="4F5CF09C" w:rsidR="00506FC8" w:rsidRPr="002F4E9A" w:rsidRDefault="00506FC8" w:rsidP="002F4E9A">
      <w:pPr>
        <w:pStyle w:val="ListParagraph"/>
        <w:numPr>
          <w:ilvl w:val="0"/>
          <w:numId w:val="7"/>
        </w:numPr>
        <w:spacing w:before="200"/>
        <w:rPr>
          <w:szCs w:val="20"/>
        </w:rPr>
      </w:pPr>
      <w:r>
        <w:rPr>
          <w:szCs w:val="20"/>
        </w:rPr>
        <w:t>Electricity purchased from the grid</w:t>
      </w:r>
    </w:p>
    <w:p w14:paraId="03874658" w14:textId="62558D25" w:rsidR="00506FC8" w:rsidRDefault="002F4E9A" w:rsidP="00506FC8">
      <w:pPr>
        <w:pStyle w:val="ListParagraph"/>
        <w:numPr>
          <w:ilvl w:val="0"/>
          <w:numId w:val="7"/>
        </w:numPr>
        <w:spacing w:before="200"/>
        <w:rPr>
          <w:szCs w:val="20"/>
        </w:rPr>
      </w:pPr>
      <w:r>
        <w:rPr>
          <w:szCs w:val="20"/>
        </w:rPr>
        <w:t>Diesel and petrol used in company cars and</w:t>
      </w:r>
      <w:r w:rsidR="00506FC8">
        <w:rPr>
          <w:szCs w:val="20"/>
        </w:rPr>
        <w:t xml:space="preserve"> </w:t>
      </w:r>
      <w:proofErr w:type="spellStart"/>
      <w:r w:rsidR="00506FC8">
        <w:rPr>
          <w:szCs w:val="20"/>
        </w:rPr>
        <w:t>and</w:t>
      </w:r>
      <w:proofErr w:type="spellEnd"/>
      <w:r w:rsidR="00506FC8">
        <w:rPr>
          <w:szCs w:val="20"/>
        </w:rPr>
        <w:t xml:space="preserve"> private vehicles</w:t>
      </w:r>
    </w:p>
    <w:p w14:paraId="77A25244" w14:textId="77777777" w:rsidR="00506FC8" w:rsidRPr="00A81C59" w:rsidRDefault="00506FC8" w:rsidP="00506FC8">
      <w:pPr>
        <w:pStyle w:val="ListParagraph"/>
        <w:numPr>
          <w:ilvl w:val="0"/>
          <w:numId w:val="7"/>
        </w:numPr>
        <w:spacing w:before="200"/>
        <w:rPr>
          <w:szCs w:val="20"/>
        </w:rPr>
      </w:pPr>
      <w:r>
        <w:rPr>
          <w:szCs w:val="20"/>
        </w:rPr>
        <w:t>LPG and diesel used</w:t>
      </w:r>
    </w:p>
    <w:p w14:paraId="293AF2AA" w14:textId="77777777" w:rsidR="00506FC8" w:rsidRPr="006912F8" w:rsidRDefault="00506FC8" w:rsidP="00506FC8">
      <w:pPr>
        <w:pStyle w:val="ListParagraph"/>
        <w:numPr>
          <w:ilvl w:val="0"/>
          <w:numId w:val="7"/>
        </w:numPr>
        <w:spacing w:before="200"/>
        <w:rPr>
          <w:szCs w:val="20"/>
        </w:rPr>
      </w:pPr>
      <w:r>
        <w:rPr>
          <w:szCs w:val="20"/>
        </w:rPr>
        <w:t>Waste to landfill</w:t>
      </w:r>
    </w:p>
    <w:p w14:paraId="557C3641" w14:textId="77777777" w:rsidR="00506FC8" w:rsidRDefault="00506FC8" w:rsidP="00506FC8">
      <w:pPr>
        <w:pStyle w:val="ListParagraph"/>
        <w:numPr>
          <w:ilvl w:val="0"/>
          <w:numId w:val="7"/>
        </w:numPr>
        <w:spacing w:before="200"/>
        <w:rPr>
          <w:szCs w:val="20"/>
        </w:rPr>
      </w:pPr>
      <w:r>
        <w:rPr>
          <w:szCs w:val="20"/>
        </w:rPr>
        <w:t>Recycling</w:t>
      </w:r>
    </w:p>
    <w:p w14:paraId="193A34EE" w14:textId="77777777" w:rsidR="00506FC8" w:rsidRDefault="00506FC8" w:rsidP="00506FC8">
      <w:pPr>
        <w:pStyle w:val="ListParagraph"/>
        <w:numPr>
          <w:ilvl w:val="0"/>
          <w:numId w:val="7"/>
        </w:numPr>
        <w:spacing w:before="200"/>
        <w:rPr>
          <w:szCs w:val="20"/>
        </w:rPr>
      </w:pPr>
      <w:r>
        <w:rPr>
          <w:szCs w:val="20"/>
        </w:rPr>
        <w:t>Employee Commuting</w:t>
      </w:r>
    </w:p>
    <w:p w14:paraId="690D55B7" w14:textId="77777777" w:rsidR="00506FC8" w:rsidRDefault="00506FC8" w:rsidP="00506FC8">
      <w:pPr>
        <w:pStyle w:val="ListParagraph"/>
        <w:numPr>
          <w:ilvl w:val="0"/>
          <w:numId w:val="7"/>
        </w:numPr>
        <w:spacing w:before="200"/>
        <w:rPr>
          <w:szCs w:val="20"/>
        </w:rPr>
      </w:pPr>
      <w:r>
        <w:rPr>
          <w:szCs w:val="20"/>
        </w:rPr>
        <w:t>Goods and services purchased by Ross Hill in operating the business and supplying customers</w:t>
      </w:r>
    </w:p>
    <w:p w14:paraId="3F9E43B8" w14:textId="77777777" w:rsidR="00506FC8" w:rsidRPr="001B3785" w:rsidRDefault="00506FC8" w:rsidP="00506FC8">
      <w:pPr>
        <w:pStyle w:val="ListParagraph"/>
        <w:numPr>
          <w:ilvl w:val="0"/>
          <w:numId w:val="7"/>
        </w:numPr>
        <w:spacing w:before="200"/>
        <w:rPr>
          <w:szCs w:val="20"/>
        </w:rPr>
      </w:pPr>
      <w:r>
        <w:rPr>
          <w:szCs w:val="20"/>
        </w:rPr>
        <w:t>End of life emissions – recycling of wine bottles</w:t>
      </w:r>
    </w:p>
    <w:p w14:paraId="044C350C" w14:textId="77777777" w:rsidR="00DA46F0" w:rsidRDefault="00DA46F0" w:rsidP="00506FC8">
      <w:pPr>
        <w:spacing w:before="200"/>
        <w:rPr>
          <w:sz w:val="28"/>
          <w:szCs w:val="28"/>
        </w:rPr>
      </w:pPr>
    </w:p>
    <w:p w14:paraId="3598B573" w14:textId="34C4FDDF" w:rsidR="00506FC8" w:rsidRDefault="00DA46F0" w:rsidP="00506FC8">
      <w:pPr>
        <w:spacing w:before="200"/>
        <w:rPr>
          <w:sz w:val="28"/>
          <w:szCs w:val="28"/>
        </w:rPr>
      </w:pPr>
      <w:r>
        <w:rPr>
          <w:sz w:val="28"/>
          <w:szCs w:val="28"/>
        </w:rPr>
        <w:lastRenderedPageBreak/>
        <w:t>Excluded</w:t>
      </w:r>
      <w:r w:rsidR="00506FC8">
        <w:rPr>
          <w:sz w:val="28"/>
          <w:szCs w:val="28"/>
        </w:rPr>
        <w:t xml:space="preserve"> sources</w:t>
      </w:r>
    </w:p>
    <w:p w14:paraId="3E75BAD2" w14:textId="77777777" w:rsidR="00506FC8" w:rsidRPr="006D33BD" w:rsidRDefault="00506FC8" w:rsidP="00506FC8">
      <w:pPr>
        <w:spacing w:before="200"/>
        <w:rPr>
          <w:szCs w:val="20"/>
        </w:rPr>
      </w:pPr>
      <w:r w:rsidRPr="006D33BD">
        <w:rPr>
          <w:szCs w:val="20"/>
        </w:rPr>
        <w:t>The following emission sources have been excluded:</w:t>
      </w:r>
    </w:p>
    <w:p w14:paraId="458CCD0D" w14:textId="77777777" w:rsidR="00506FC8" w:rsidRPr="006912F8" w:rsidRDefault="00506FC8" w:rsidP="00506FC8">
      <w:pPr>
        <w:pStyle w:val="ListParagraph"/>
        <w:numPr>
          <w:ilvl w:val="0"/>
          <w:numId w:val="8"/>
        </w:numPr>
        <w:spacing w:before="200"/>
        <w:rPr>
          <w:color w:val="auto"/>
          <w:szCs w:val="20"/>
        </w:rPr>
      </w:pPr>
      <w:r w:rsidRPr="006D33BD">
        <w:rPr>
          <w:szCs w:val="20"/>
        </w:rPr>
        <w:t>Capital goods (machinery)</w:t>
      </w:r>
      <w:r>
        <w:rPr>
          <w:szCs w:val="20"/>
        </w:rPr>
        <w:t xml:space="preserve"> – none purchased in the reporting period</w:t>
      </w:r>
    </w:p>
    <w:p w14:paraId="45A33F7E" w14:textId="77777777" w:rsidR="00506FC8" w:rsidRPr="00A30E1C" w:rsidRDefault="00506FC8" w:rsidP="00506FC8">
      <w:pPr>
        <w:pStyle w:val="ListParagraph"/>
        <w:numPr>
          <w:ilvl w:val="0"/>
          <w:numId w:val="8"/>
        </w:numPr>
        <w:spacing w:before="200"/>
        <w:rPr>
          <w:color w:val="auto"/>
          <w:szCs w:val="20"/>
        </w:rPr>
      </w:pPr>
      <w:r>
        <w:rPr>
          <w:szCs w:val="20"/>
        </w:rPr>
        <w:t>Use phase e</w:t>
      </w:r>
      <w:r w:rsidRPr="006D33BD">
        <w:rPr>
          <w:szCs w:val="20"/>
        </w:rPr>
        <w:t>missions</w:t>
      </w:r>
      <w:r>
        <w:rPr>
          <w:szCs w:val="20"/>
        </w:rPr>
        <w:t xml:space="preserve"> in the retail supply chain such as transport and refrigeration</w:t>
      </w:r>
    </w:p>
    <w:p w14:paraId="22C7A176" w14:textId="77777777" w:rsidR="00506FC8" w:rsidRPr="006D33BD" w:rsidRDefault="00506FC8" w:rsidP="00506FC8">
      <w:pPr>
        <w:pStyle w:val="ListParagraph"/>
        <w:numPr>
          <w:ilvl w:val="0"/>
          <w:numId w:val="8"/>
        </w:numPr>
        <w:spacing w:before="200"/>
        <w:rPr>
          <w:color w:val="auto"/>
          <w:szCs w:val="20"/>
        </w:rPr>
      </w:pPr>
      <w:r>
        <w:rPr>
          <w:szCs w:val="20"/>
        </w:rPr>
        <w:t>Capital expenditure</w:t>
      </w:r>
    </w:p>
    <w:p w14:paraId="5F89F9CA" w14:textId="77777777" w:rsidR="00506FC8" w:rsidRPr="006D33BD" w:rsidRDefault="00506FC8" w:rsidP="00506FC8">
      <w:pPr>
        <w:pStyle w:val="ListParagraph"/>
        <w:spacing w:before="200"/>
        <w:rPr>
          <w:color w:val="auto"/>
          <w:szCs w:val="20"/>
        </w:rPr>
      </w:pPr>
    </w:p>
    <w:p w14:paraId="0CE0220D" w14:textId="2C9F0491" w:rsidR="002716D2" w:rsidRPr="00874D9E" w:rsidRDefault="002716D2" w:rsidP="002716D2">
      <w:pPr>
        <w:spacing w:before="200"/>
        <w:rPr>
          <w:sz w:val="28"/>
          <w:szCs w:val="28"/>
          <w:u w:val="single"/>
        </w:rPr>
      </w:pPr>
      <w:r w:rsidRPr="00874D9E">
        <w:rPr>
          <w:sz w:val="28"/>
          <w:szCs w:val="28"/>
          <w:u w:val="single"/>
        </w:rPr>
        <w:t>Diagram</w:t>
      </w:r>
      <w:r w:rsidR="009A4419">
        <w:rPr>
          <w:sz w:val="28"/>
          <w:szCs w:val="28"/>
          <w:u w:val="single"/>
        </w:rPr>
        <w:t xml:space="preserve"> of certification boundary</w:t>
      </w:r>
    </w:p>
    <w:p w14:paraId="38BE7A45" w14:textId="6E300A4F" w:rsidR="00D50098" w:rsidRPr="00A370CC" w:rsidRDefault="00506FC8" w:rsidP="008629B0">
      <w:pPr>
        <w:spacing w:before="200"/>
        <w:rPr>
          <w:sz w:val="20"/>
          <w:szCs w:val="20"/>
        </w:rPr>
        <w:sectPr w:rsidR="00D50098" w:rsidRPr="00A370CC" w:rsidSect="005E5675">
          <w:headerReference w:type="default" r:id="rId14"/>
          <w:footerReference w:type="default" r:id="rId15"/>
          <w:headerReference w:type="first" r:id="rId16"/>
          <w:footerReference w:type="first" r:id="rId17"/>
          <w:pgSz w:w="11906" w:h="16838" w:code="9"/>
          <w:pgMar w:top="1701" w:right="1701" w:bottom="1559" w:left="1701" w:header="709" w:footer="709" w:gutter="0"/>
          <w:cols w:space="708"/>
          <w:titlePg/>
          <w:docGrid w:linePitch="360"/>
        </w:sectPr>
      </w:pPr>
      <w:r w:rsidRPr="00DD3CDB">
        <w:rPr>
          <w:noProof/>
          <w:lang w:eastAsia="en-AU"/>
        </w:rPr>
        <w:drawing>
          <wp:inline distT="0" distB="0" distL="0" distR="0" wp14:anchorId="24E35D26" wp14:editId="11B32323">
            <wp:extent cx="5207962" cy="6489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8270" cy="6490084"/>
                    </a:xfrm>
                    <a:prstGeom prst="rect">
                      <a:avLst/>
                    </a:prstGeom>
                    <a:noFill/>
                    <a:ln>
                      <a:noFill/>
                    </a:ln>
                  </pic:spPr>
                </pic:pic>
              </a:graphicData>
            </a:graphic>
          </wp:inline>
        </w:drawing>
      </w:r>
    </w:p>
    <w:p w14:paraId="49192092" w14:textId="77777777" w:rsidR="00D50098" w:rsidRDefault="00B4431C" w:rsidP="00D50098">
      <w:pPr>
        <w:pStyle w:val="Heading1"/>
      </w:pPr>
      <w:r>
        <w:lastRenderedPageBreak/>
        <w:t>2</w:t>
      </w:r>
      <w:r w:rsidR="00D50098">
        <w:t xml:space="preserve">. </w:t>
      </w:r>
      <w:r w:rsidR="00D50098" w:rsidRPr="00301453">
        <w:t>Emission</w:t>
      </w:r>
      <w:r w:rsidR="00BF6879">
        <w:t>s</w:t>
      </w:r>
      <w:r w:rsidR="00D50098" w:rsidRPr="00301453">
        <w:t xml:space="preserve"> </w:t>
      </w:r>
      <w:r w:rsidR="00C34EF7">
        <w:t>r</w:t>
      </w:r>
      <w:r w:rsidR="00C34EF7" w:rsidRPr="00301453">
        <w:t xml:space="preserve">eduction </w:t>
      </w:r>
      <w:r w:rsidR="00C34EF7">
        <w:t>m</w:t>
      </w:r>
      <w:r w:rsidR="00C34EF7" w:rsidRPr="00301453">
        <w:t>easures</w:t>
      </w:r>
    </w:p>
    <w:p w14:paraId="524B8543" w14:textId="77777777" w:rsidR="00AF434A" w:rsidRDefault="009A77C2" w:rsidP="00484A77">
      <w:pPr>
        <w:pStyle w:val="BodyText"/>
        <w:rPr>
          <w:color w:val="auto"/>
          <w:lang w:val="en-GB"/>
        </w:rPr>
      </w:pPr>
      <w:r w:rsidRPr="0034431A">
        <w:rPr>
          <w:i/>
          <w:color w:val="auto"/>
          <w:sz w:val="28"/>
          <w:szCs w:val="28"/>
          <w:u w:val="single"/>
        </w:rPr>
        <w:t xml:space="preserve">Part </w:t>
      </w:r>
      <w:r w:rsidR="002F5942" w:rsidRPr="0034431A">
        <w:rPr>
          <w:i/>
          <w:color w:val="auto"/>
          <w:sz w:val="28"/>
          <w:szCs w:val="28"/>
          <w:u w:val="single"/>
        </w:rPr>
        <w:t>A</w:t>
      </w:r>
      <w:r w:rsidRPr="0034431A">
        <w:rPr>
          <w:i/>
          <w:color w:val="auto"/>
          <w:sz w:val="28"/>
          <w:szCs w:val="28"/>
          <w:u w:val="single"/>
        </w:rPr>
        <w:t>. Emission</w:t>
      </w:r>
      <w:r w:rsidR="00FF3C31" w:rsidRPr="0034431A">
        <w:rPr>
          <w:i/>
          <w:color w:val="auto"/>
          <w:sz w:val="28"/>
          <w:szCs w:val="28"/>
          <w:u w:val="single"/>
        </w:rPr>
        <w:t>s</w:t>
      </w:r>
      <w:r w:rsidRPr="0034431A">
        <w:rPr>
          <w:i/>
          <w:color w:val="auto"/>
          <w:sz w:val="28"/>
          <w:szCs w:val="28"/>
          <w:u w:val="single"/>
        </w:rPr>
        <w:t xml:space="preserve"> over time</w:t>
      </w:r>
      <w:r w:rsidRPr="0034431A">
        <w:rPr>
          <w:color w:val="auto"/>
          <w:lang w:val="en-GB"/>
        </w:rPr>
        <w:t xml:space="preserve"> </w:t>
      </w:r>
    </w:p>
    <w:p w14:paraId="4842E8A7" w14:textId="71976F84" w:rsidR="00484A77" w:rsidRPr="00AF434A" w:rsidRDefault="00AF434A" w:rsidP="00484A77">
      <w:pPr>
        <w:pStyle w:val="BodyText"/>
        <w:rPr>
          <w:color w:val="auto"/>
          <w:lang w:val="en-GB"/>
        </w:rPr>
      </w:pPr>
      <w:r>
        <w:rPr>
          <w:color w:val="auto"/>
          <w:lang w:val="en-GB"/>
        </w:rPr>
        <w:t>The</w:t>
      </w:r>
      <w:r w:rsidR="00484A77">
        <w:rPr>
          <w:color w:val="auto"/>
          <w:szCs w:val="20"/>
        </w:rPr>
        <w:t>base year</w:t>
      </w:r>
      <w:r>
        <w:rPr>
          <w:color w:val="auto"/>
          <w:szCs w:val="20"/>
        </w:rPr>
        <w:t xml:space="preserve"> was reset to the 2014 -2015 reporting period. This was the first year the all business operations and the entire product range was included in the emissions calculations for the LCA</w:t>
      </w:r>
      <w:r w:rsidR="00484A77">
        <w:rPr>
          <w:color w:val="auto"/>
          <w:szCs w:val="20"/>
        </w:rPr>
        <w:t xml:space="preserve">. </w:t>
      </w:r>
    </w:p>
    <w:tbl>
      <w:tblPr>
        <w:tblStyle w:val="TableGrid"/>
        <w:tblpPr w:leftFromText="181" w:rightFromText="181" w:vertAnchor="text" w:horzAnchor="margin" w:tblpY="1"/>
        <w:tblW w:w="4900" w:type="pct"/>
        <w:tblBorders>
          <w:insideH w:val="single" w:sz="8" w:space="0" w:color="F8F7F2" w:themeColor="background2" w:themeTint="66"/>
          <w:insideV w:val="single" w:sz="8" w:space="0" w:color="F8F7F2" w:themeColor="background2" w:themeTint="66"/>
        </w:tblBorders>
        <w:tblLook w:val="04A0" w:firstRow="1" w:lastRow="0" w:firstColumn="1" w:lastColumn="0" w:noHBand="0" w:noVBand="1"/>
      </w:tblPr>
      <w:tblGrid>
        <w:gridCol w:w="2307"/>
        <w:gridCol w:w="2422"/>
        <w:gridCol w:w="3817"/>
      </w:tblGrid>
      <w:tr w:rsidR="00484A77" w:rsidRPr="006D669C" w14:paraId="7F24E805" w14:textId="77777777" w:rsidTr="00484A77">
        <w:trPr>
          <w:trHeight w:val="217"/>
        </w:trPr>
        <w:tc>
          <w:tcPr>
            <w:tcW w:w="1350" w:type="pct"/>
            <w:tcBorders>
              <w:top w:val="single" w:sz="4" w:space="0" w:color="auto"/>
              <w:bottom w:val="single" w:sz="8" w:space="0" w:color="F8F7F2" w:themeColor="background2" w:themeTint="66"/>
            </w:tcBorders>
            <w:shd w:val="clear" w:color="auto" w:fill="DBE5F1" w:themeFill="accent1" w:themeFillTint="33"/>
            <w:vAlign w:val="center"/>
          </w:tcPr>
          <w:p w14:paraId="672850B7" w14:textId="77777777" w:rsidR="00484A77" w:rsidRPr="00F44651" w:rsidRDefault="00484A77" w:rsidP="008771E4">
            <w:pPr>
              <w:spacing w:before="100" w:after="100"/>
              <w:rPr>
                <w:szCs w:val="20"/>
                <w:lang w:val="en-AU"/>
              </w:rPr>
            </w:pPr>
          </w:p>
        </w:tc>
        <w:tc>
          <w:tcPr>
            <w:tcW w:w="1417" w:type="pct"/>
            <w:tcBorders>
              <w:top w:val="single" w:sz="4" w:space="0" w:color="auto"/>
            </w:tcBorders>
            <w:shd w:val="clear" w:color="auto" w:fill="DBE5F1" w:themeFill="accent1" w:themeFillTint="33"/>
            <w:vAlign w:val="center"/>
          </w:tcPr>
          <w:p w14:paraId="10AD7A23" w14:textId="216AE64A" w:rsidR="00484A77" w:rsidRPr="001C7CB2" w:rsidRDefault="00484A77" w:rsidP="00171961">
            <w:pPr>
              <w:spacing w:before="100" w:after="100"/>
              <w:jc w:val="center"/>
              <w:rPr>
                <w:sz w:val="20"/>
                <w:szCs w:val="20"/>
                <w:lang w:val="en-AU"/>
              </w:rPr>
            </w:pPr>
            <w:r w:rsidRPr="001C7CB2">
              <w:rPr>
                <w:sz w:val="20"/>
                <w:szCs w:val="20"/>
                <w:lang w:val="en-AU"/>
              </w:rPr>
              <w:t>Base Year</w:t>
            </w:r>
            <w:r w:rsidR="00171961">
              <w:rPr>
                <w:sz w:val="20"/>
                <w:szCs w:val="20"/>
                <w:lang w:val="en-AU"/>
              </w:rPr>
              <w:t xml:space="preserve"> (tCO</w:t>
            </w:r>
            <w:r w:rsidR="00171961" w:rsidRPr="00171961">
              <w:rPr>
                <w:sz w:val="20"/>
                <w:szCs w:val="20"/>
                <w:vertAlign w:val="subscript"/>
                <w:lang w:val="en-AU"/>
              </w:rPr>
              <w:t>2</w:t>
            </w:r>
            <w:r w:rsidR="00171961">
              <w:rPr>
                <w:sz w:val="20"/>
                <w:szCs w:val="20"/>
                <w:lang w:val="en-AU"/>
              </w:rPr>
              <w:t>-e)</w:t>
            </w:r>
          </w:p>
        </w:tc>
        <w:tc>
          <w:tcPr>
            <w:tcW w:w="2233" w:type="pct"/>
            <w:tcBorders>
              <w:top w:val="single" w:sz="4" w:space="0" w:color="auto"/>
            </w:tcBorders>
            <w:shd w:val="clear" w:color="auto" w:fill="DBE5F1" w:themeFill="accent1" w:themeFillTint="33"/>
            <w:vAlign w:val="center"/>
          </w:tcPr>
          <w:p w14:paraId="3B13BC20" w14:textId="01C90AFD" w:rsidR="00484A77" w:rsidRPr="001C7CB2" w:rsidRDefault="00484A77" w:rsidP="00171961">
            <w:pPr>
              <w:spacing w:before="100" w:after="100"/>
              <w:jc w:val="center"/>
              <w:rPr>
                <w:sz w:val="20"/>
                <w:szCs w:val="20"/>
                <w:lang w:val="en-AU"/>
              </w:rPr>
            </w:pPr>
            <w:r>
              <w:rPr>
                <w:sz w:val="20"/>
                <w:szCs w:val="20"/>
                <w:lang w:val="en-AU"/>
              </w:rPr>
              <w:t>Current year</w:t>
            </w:r>
            <w:r w:rsidR="00171961">
              <w:rPr>
                <w:sz w:val="20"/>
                <w:szCs w:val="20"/>
                <w:lang w:val="en-AU"/>
              </w:rPr>
              <w:t xml:space="preserve"> (tCO</w:t>
            </w:r>
            <w:r w:rsidR="00171961" w:rsidRPr="00171961">
              <w:rPr>
                <w:sz w:val="20"/>
                <w:szCs w:val="20"/>
                <w:vertAlign w:val="subscript"/>
                <w:lang w:val="en-AU"/>
              </w:rPr>
              <w:t>2</w:t>
            </w:r>
            <w:r w:rsidR="00171961">
              <w:rPr>
                <w:sz w:val="20"/>
                <w:szCs w:val="20"/>
                <w:lang w:val="en-AU"/>
              </w:rPr>
              <w:t>-e)</w:t>
            </w:r>
          </w:p>
        </w:tc>
      </w:tr>
      <w:tr w:rsidR="00484A77" w:rsidRPr="006D669C" w14:paraId="4D3BB968" w14:textId="77777777" w:rsidTr="00171961">
        <w:trPr>
          <w:trHeight w:val="563"/>
        </w:trPr>
        <w:tc>
          <w:tcPr>
            <w:tcW w:w="1350" w:type="pct"/>
            <w:tcBorders>
              <w:top w:val="single" w:sz="8" w:space="0" w:color="F8F7F2" w:themeColor="background2" w:themeTint="66"/>
              <w:bottom w:val="single" w:sz="4" w:space="0" w:color="auto"/>
            </w:tcBorders>
            <w:vAlign w:val="center"/>
          </w:tcPr>
          <w:p w14:paraId="45E60433" w14:textId="77777777" w:rsidR="00484A77" w:rsidRPr="00382F1C" w:rsidRDefault="00484A77" w:rsidP="00171961">
            <w:pPr>
              <w:rPr>
                <w:sz w:val="20"/>
                <w:szCs w:val="20"/>
              </w:rPr>
            </w:pPr>
            <w:r w:rsidRPr="00382F1C">
              <w:rPr>
                <w:sz w:val="20"/>
                <w:szCs w:val="20"/>
              </w:rPr>
              <w:t>Scope 1</w:t>
            </w:r>
          </w:p>
        </w:tc>
        <w:tc>
          <w:tcPr>
            <w:tcW w:w="1417" w:type="pct"/>
            <w:vAlign w:val="center"/>
          </w:tcPr>
          <w:p w14:paraId="243BE016" w14:textId="28FC1A3B" w:rsidR="00484A77" w:rsidRPr="00382F1C" w:rsidRDefault="009F7670" w:rsidP="00171961">
            <w:pPr>
              <w:jc w:val="center"/>
              <w:rPr>
                <w:sz w:val="20"/>
                <w:szCs w:val="20"/>
              </w:rPr>
            </w:pPr>
            <w:r>
              <w:rPr>
                <w:sz w:val="20"/>
                <w:szCs w:val="20"/>
              </w:rPr>
              <w:t>12.5</w:t>
            </w:r>
          </w:p>
        </w:tc>
        <w:tc>
          <w:tcPr>
            <w:tcW w:w="2233" w:type="pct"/>
            <w:vAlign w:val="center"/>
          </w:tcPr>
          <w:p w14:paraId="676FF5F6" w14:textId="3F48C00B" w:rsidR="00484A77" w:rsidRPr="00382F1C" w:rsidRDefault="002F4E9A" w:rsidP="00171961">
            <w:pPr>
              <w:jc w:val="center"/>
              <w:rPr>
                <w:sz w:val="20"/>
                <w:szCs w:val="20"/>
              </w:rPr>
            </w:pPr>
            <w:r>
              <w:rPr>
                <w:sz w:val="20"/>
                <w:szCs w:val="20"/>
              </w:rPr>
              <w:t>22.3</w:t>
            </w:r>
          </w:p>
        </w:tc>
      </w:tr>
      <w:tr w:rsidR="00484A77" w:rsidRPr="006D669C" w14:paraId="5D2817E4" w14:textId="77777777" w:rsidTr="00171961">
        <w:trPr>
          <w:trHeight w:val="563"/>
        </w:trPr>
        <w:tc>
          <w:tcPr>
            <w:tcW w:w="1350" w:type="pct"/>
            <w:tcBorders>
              <w:top w:val="single" w:sz="8" w:space="0" w:color="F8F7F2" w:themeColor="background2" w:themeTint="66"/>
              <w:bottom w:val="single" w:sz="4" w:space="0" w:color="auto"/>
            </w:tcBorders>
            <w:vAlign w:val="center"/>
          </w:tcPr>
          <w:p w14:paraId="074498DC" w14:textId="77777777" w:rsidR="00484A77" w:rsidRPr="00382F1C" w:rsidRDefault="00484A77" w:rsidP="00171961">
            <w:pPr>
              <w:rPr>
                <w:sz w:val="20"/>
                <w:szCs w:val="20"/>
              </w:rPr>
            </w:pPr>
            <w:r w:rsidRPr="00382F1C">
              <w:rPr>
                <w:sz w:val="20"/>
                <w:szCs w:val="20"/>
              </w:rPr>
              <w:t>Scope 2</w:t>
            </w:r>
          </w:p>
        </w:tc>
        <w:tc>
          <w:tcPr>
            <w:tcW w:w="1417" w:type="pct"/>
            <w:vAlign w:val="center"/>
          </w:tcPr>
          <w:p w14:paraId="6DA8EDBC" w14:textId="0FF3D6B7" w:rsidR="00484A77" w:rsidRPr="00382F1C" w:rsidRDefault="009F7670" w:rsidP="00171961">
            <w:pPr>
              <w:jc w:val="center"/>
              <w:rPr>
                <w:sz w:val="20"/>
                <w:szCs w:val="20"/>
              </w:rPr>
            </w:pPr>
            <w:r>
              <w:rPr>
                <w:sz w:val="20"/>
                <w:szCs w:val="20"/>
              </w:rPr>
              <w:t>92.5</w:t>
            </w:r>
          </w:p>
        </w:tc>
        <w:tc>
          <w:tcPr>
            <w:tcW w:w="2233" w:type="pct"/>
            <w:vAlign w:val="center"/>
          </w:tcPr>
          <w:p w14:paraId="68569892" w14:textId="1ECB009D" w:rsidR="00484A77" w:rsidRPr="00382F1C" w:rsidRDefault="002F4E9A" w:rsidP="00171961">
            <w:pPr>
              <w:jc w:val="center"/>
              <w:rPr>
                <w:sz w:val="20"/>
                <w:szCs w:val="20"/>
              </w:rPr>
            </w:pPr>
            <w:r>
              <w:rPr>
                <w:sz w:val="20"/>
                <w:szCs w:val="20"/>
              </w:rPr>
              <w:t>67.7</w:t>
            </w:r>
          </w:p>
        </w:tc>
      </w:tr>
      <w:tr w:rsidR="00484A77" w:rsidRPr="006D669C" w14:paraId="37033C77" w14:textId="77777777" w:rsidTr="00171961">
        <w:trPr>
          <w:trHeight w:val="563"/>
        </w:trPr>
        <w:tc>
          <w:tcPr>
            <w:tcW w:w="1350" w:type="pct"/>
            <w:tcBorders>
              <w:top w:val="single" w:sz="8" w:space="0" w:color="F8F7F2" w:themeColor="background2" w:themeTint="66"/>
              <w:bottom w:val="single" w:sz="4" w:space="0" w:color="auto"/>
            </w:tcBorders>
            <w:vAlign w:val="center"/>
          </w:tcPr>
          <w:p w14:paraId="66297385" w14:textId="77777777" w:rsidR="00484A77" w:rsidRPr="00382F1C" w:rsidRDefault="00484A77" w:rsidP="00171961">
            <w:pPr>
              <w:rPr>
                <w:sz w:val="20"/>
                <w:szCs w:val="20"/>
              </w:rPr>
            </w:pPr>
            <w:r w:rsidRPr="00382F1C">
              <w:rPr>
                <w:sz w:val="20"/>
                <w:szCs w:val="20"/>
              </w:rPr>
              <w:t>Scope 3</w:t>
            </w:r>
          </w:p>
        </w:tc>
        <w:tc>
          <w:tcPr>
            <w:tcW w:w="1417" w:type="pct"/>
            <w:vAlign w:val="center"/>
          </w:tcPr>
          <w:p w14:paraId="5F41B285" w14:textId="1EF68E57" w:rsidR="00484A77" w:rsidRPr="00382F1C" w:rsidRDefault="009F7670" w:rsidP="00171961">
            <w:pPr>
              <w:jc w:val="center"/>
              <w:rPr>
                <w:sz w:val="20"/>
                <w:szCs w:val="20"/>
              </w:rPr>
            </w:pPr>
            <w:r>
              <w:rPr>
                <w:sz w:val="20"/>
                <w:szCs w:val="20"/>
              </w:rPr>
              <w:t>442.5</w:t>
            </w:r>
          </w:p>
        </w:tc>
        <w:tc>
          <w:tcPr>
            <w:tcW w:w="2233" w:type="pct"/>
            <w:vAlign w:val="center"/>
          </w:tcPr>
          <w:p w14:paraId="5CF82729" w14:textId="1E374E09" w:rsidR="00484A77" w:rsidRPr="00382F1C" w:rsidRDefault="006A7C51" w:rsidP="00171961">
            <w:pPr>
              <w:jc w:val="center"/>
              <w:rPr>
                <w:sz w:val="20"/>
                <w:szCs w:val="20"/>
              </w:rPr>
            </w:pPr>
            <w:r>
              <w:rPr>
                <w:sz w:val="20"/>
                <w:szCs w:val="20"/>
              </w:rPr>
              <w:t>494.6</w:t>
            </w:r>
          </w:p>
        </w:tc>
      </w:tr>
      <w:tr w:rsidR="00484A77" w:rsidRPr="006D669C" w14:paraId="1E627CAE" w14:textId="77777777" w:rsidTr="00171961">
        <w:trPr>
          <w:trHeight w:val="563"/>
        </w:trPr>
        <w:tc>
          <w:tcPr>
            <w:tcW w:w="1350" w:type="pct"/>
            <w:tcBorders>
              <w:top w:val="single" w:sz="8" w:space="0" w:color="F8F7F2" w:themeColor="background2" w:themeTint="66"/>
              <w:bottom w:val="single" w:sz="4" w:space="0" w:color="auto"/>
            </w:tcBorders>
            <w:vAlign w:val="center"/>
          </w:tcPr>
          <w:p w14:paraId="5D278626" w14:textId="101847FE" w:rsidR="00484A77" w:rsidRPr="00382F1C" w:rsidRDefault="00484A77" w:rsidP="00171961">
            <w:pPr>
              <w:rPr>
                <w:i/>
                <w:sz w:val="20"/>
                <w:szCs w:val="20"/>
                <w:lang w:val="en-AU"/>
              </w:rPr>
            </w:pPr>
            <w:r w:rsidRPr="00382F1C">
              <w:rPr>
                <w:sz w:val="20"/>
                <w:szCs w:val="20"/>
                <w:lang w:val="en-AU"/>
              </w:rPr>
              <w:t>Total</w:t>
            </w:r>
          </w:p>
        </w:tc>
        <w:tc>
          <w:tcPr>
            <w:tcW w:w="1417" w:type="pct"/>
            <w:vAlign w:val="center"/>
          </w:tcPr>
          <w:p w14:paraId="50523EF7" w14:textId="7BC87016" w:rsidR="00484A77" w:rsidRPr="00382F1C" w:rsidRDefault="009F7670" w:rsidP="00171961">
            <w:pPr>
              <w:jc w:val="center"/>
              <w:rPr>
                <w:sz w:val="20"/>
                <w:szCs w:val="20"/>
                <w:lang w:val="en-AU"/>
              </w:rPr>
            </w:pPr>
            <w:r>
              <w:rPr>
                <w:sz w:val="20"/>
                <w:szCs w:val="20"/>
                <w:lang w:val="en-AU"/>
              </w:rPr>
              <w:t>547.5</w:t>
            </w:r>
          </w:p>
        </w:tc>
        <w:tc>
          <w:tcPr>
            <w:tcW w:w="2233" w:type="pct"/>
            <w:vAlign w:val="center"/>
          </w:tcPr>
          <w:p w14:paraId="4DFA8238" w14:textId="4F451992" w:rsidR="00484A77" w:rsidRPr="00382F1C" w:rsidRDefault="006A7C51" w:rsidP="00171961">
            <w:pPr>
              <w:jc w:val="center"/>
              <w:rPr>
                <w:sz w:val="20"/>
                <w:szCs w:val="20"/>
                <w:lang w:val="en-AU"/>
              </w:rPr>
            </w:pPr>
            <w:r>
              <w:rPr>
                <w:sz w:val="20"/>
                <w:szCs w:val="20"/>
                <w:lang w:val="en-AU"/>
              </w:rPr>
              <w:t>584.6</w:t>
            </w:r>
          </w:p>
        </w:tc>
      </w:tr>
    </w:tbl>
    <w:p w14:paraId="4355ECFD" w14:textId="77777777" w:rsidR="00DC48DF" w:rsidRPr="0034431A" w:rsidRDefault="00DC48DF" w:rsidP="00DC48DF">
      <w:pPr>
        <w:pStyle w:val="BodyText"/>
        <w:rPr>
          <w:i/>
          <w:color w:val="auto"/>
          <w:sz w:val="28"/>
          <w:szCs w:val="28"/>
          <w:u w:val="single"/>
        </w:rPr>
      </w:pPr>
      <w:r w:rsidRPr="0034431A">
        <w:rPr>
          <w:i/>
          <w:color w:val="auto"/>
          <w:sz w:val="28"/>
          <w:szCs w:val="28"/>
          <w:u w:val="single"/>
        </w:rPr>
        <w:t xml:space="preserve">Part B. Emissions </w:t>
      </w:r>
      <w:r w:rsidR="000D10EE" w:rsidRPr="0034431A">
        <w:rPr>
          <w:i/>
          <w:color w:val="auto"/>
          <w:sz w:val="28"/>
          <w:szCs w:val="28"/>
          <w:u w:val="single"/>
        </w:rPr>
        <w:t xml:space="preserve">reduction strategy </w:t>
      </w:r>
    </w:p>
    <w:p w14:paraId="50F1CB77" w14:textId="77777777" w:rsidR="00484A77" w:rsidRPr="00D475FC" w:rsidRDefault="00484A77" w:rsidP="00484A77">
      <w:pPr>
        <w:rPr>
          <w:sz w:val="20"/>
          <w:szCs w:val="20"/>
          <w:lang w:eastAsia="zh-CN"/>
        </w:rPr>
      </w:pPr>
      <w:r w:rsidRPr="00D475FC">
        <w:rPr>
          <w:sz w:val="20"/>
          <w:szCs w:val="20"/>
          <w:lang w:eastAsia="zh-CN"/>
        </w:rPr>
        <w:t>We have taken a number of initiatives to reduce our carbon footprint</w:t>
      </w:r>
    </w:p>
    <w:p w14:paraId="67177FFA" w14:textId="77777777" w:rsidR="00484A77" w:rsidRPr="00D475FC" w:rsidRDefault="00484A77" w:rsidP="00484A77">
      <w:pPr>
        <w:rPr>
          <w:sz w:val="20"/>
          <w:szCs w:val="20"/>
          <w:lang w:eastAsia="zh-CN"/>
        </w:rPr>
      </w:pPr>
      <w:r w:rsidRPr="00D475FC">
        <w:rPr>
          <w:sz w:val="20"/>
          <w:szCs w:val="20"/>
          <w:lang w:eastAsia="zh-CN"/>
        </w:rPr>
        <w:t xml:space="preserve">Firstly, we measured our electricity and gas costs in the period July 2010 to June </w:t>
      </w:r>
      <w:proofErr w:type="gramStart"/>
      <w:r w:rsidRPr="00D475FC">
        <w:rPr>
          <w:sz w:val="20"/>
          <w:szCs w:val="20"/>
          <w:lang w:eastAsia="zh-CN"/>
        </w:rPr>
        <w:t>2011 which</w:t>
      </w:r>
      <w:proofErr w:type="gramEnd"/>
      <w:r w:rsidRPr="00D475FC">
        <w:rPr>
          <w:sz w:val="20"/>
          <w:szCs w:val="20"/>
          <w:lang w:eastAsia="zh-CN"/>
        </w:rPr>
        <w:t xml:space="preserve"> was $40,000.</w:t>
      </w:r>
    </w:p>
    <w:p w14:paraId="0B957B4E" w14:textId="77777777" w:rsidR="00484A77" w:rsidRPr="00D475FC" w:rsidRDefault="00484A77" w:rsidP="00484A77">
      <w:pPr>
        <w:rPr>
          <w:sz w:val="20"/>
          <w:szCs w:val="20"/>
          <w:lang w:eastAsia="zh-CN"/>
        </w:rPr>
      </w:pPr>
      <w:r>
        <w:rPr>
          <w:sz w:val="20"/>
          <w:szCs w:val="20"/>
          <w:lang w:eastAsia="zh-CN"/>
        </w:rPr>
        <w:t xml:space="preserve">In 2013 </w:t>
      </w:r>
      <w:r w:rsidRPr="00D475FC">
        <w:rPr>
          <w:sz w:val="20"/>
          <w:szCs w:val="20"/>
          <w:lang w:eastAsia="zh-CN"/>
        </w:rPr>
        <w:t>we had a NSW state government sponsored energy audit completed and various actions were recommended. These recommendations were all implemented.</w:t>
      </w:r>
    </w:p>
    <w:p w14:paraId="00A81EE1" w14:textId="77777777" w:rsidR="00484A77" w:rsidRPr="00D475FC" w:rsidRDefault="00484A77" w:rsidP="00484A77">
      <w:pPr>
        <w:rPr>
          <w:sz w:val="20"/>
          <w:szCs w:val="20"/>
          <w:lang w:eastAsia="zh-CN"/>
        </w:rPr>
      </w:pPr>
      <w:r w:rsidRPr="00D475FC">
        <w:rPr>
          <w:sz w:val="20"/>
          <w:szCs w:val="20"/>
          <w:lang w:eastAsia="zh-CN"/>
        </w:rPr>
        <w:t>We have installed 34 kW of solar panels.</w:t>
      </w:r>
    </w:p>
    <w:p w14:paraId="4CB5526A" w14:textId="77777777" w:rsidR="00484A77" w:rsidRPr="00D475FC" w:rsidRDefault="00484A77" w:rsidP="00484A77">
      <w:pPr>
        <w:rPr>
          <w:sz w:val="20"/>
          <w:szCs w:val="20"/>
          <w:lang w:eastAsia="zh-CN"/>
        </w:rPr>
      </w:pPr>
      <w:r w:rsidRPr="00D475FC">
        <w:rPr>
          <w:sz w:val="20"/>
          <w:szCs w:val="20"/>
          <w:lang w:eastAsia="zh-CN"/>
        </w:rPr>
        <w:t xml:space="preserve">We have also reduced energy use by changing our cold stabilisation procedures. We decided to introduce cold stabilisation by physical </w:t>
      </w:r>
      <w:proofErr w:type="gramStart"/>
      <w:r w:rsidRPr="00D475FC">
        <w:rPr>
          <w:sz w:val="20"/>
          <w:szCs w:val="20"/>
          <w:lang w:eastAsia="zh-CN"/>
        </w:rPr>
        <w:t>means</w:t>
      </w:r>
      <w:r>
        <w:rPr>
          <w:sz w:val="20"/>
          <w:szCs w:val="20"/>
          <w:lang w:eastAsia="zh-CN"/>
        </w:rPr>
        <w:t xml:space="preserve"> which</w:t>
      </w:r>
      <w:proofErr w:type="gramEnd"/>
      <w:r>
        <w:rPr>
          <w:sz w:val="20"/>
          <w:szCs w:val="20"/>
          <w:lang w:eastAsia="zh-CN"/>
        </w:rPr>
        <w:t xml:space="preserve"> requires the wine (Total</w:t>
      </w:r>
      <w:r w:rsidRPr="00D475FC">
        <w:rPr>
          <w:sz w:val="20"/>
          <w:szCs w:val="20"/>
          <w:lang w:eastAsia="zh-CN"/>
        </w:rPr>
        <w:t xml:space="preserve"> ~ 100kl/year) to be chilled to minus 1 degrees for about a month then treated with tartrate crystals. CMC Cold stabilisation requir</w:t>
      </w:r>
      <w:r>
        <w:rPr>
          <w:sz w:val="20"/>
          <w:szCs w:val="20"/>
          <w:lang w:eastAsia="zh-CN"/>
        </w:rPr>
        <w:t>es a simple addition of 100ppm c</w:t>
      </w:r>
      <w:r w:rsidRPr="00D475FC">
        <w:rPr>
          <w:sz w:val="20"/>
          <w:szCs w:val="20"/>
          <w:lang w:eastAsia="zh-CN"/>
        </w:rPr>
        <w:t>ellulose solution. The results are less permanent but adequate for our purposes.</w:t>
      </w:r>
    </w:p>
    <w:p w14:paraId="63277A95" w14:textId="77777777" w:rsidR="00484A77" w:rsidRPr="00D475FC" w:rsidRDefault="00484A77" w:rsidP="00484A77">
      <w:pPr>
        <w:rPr>
          <w:sz w:val="20"/>
          <w:szCs w:val="20"/>
          <w:lang w:eastAsia="zh-CN"/>
        </w:rPr>
      </w:pPr>
      <w:r w:rsidRPr="00D475FC">
        <w:rPr>
          <w:sz w:val="20"/>
          <w:szCs w:val="20"/>
          <w:lang w:eastAsia="zh-CN"/>
        </w:rPr>
        <w:t>After introducing this form of cold stabilisation, as well as a major maintenance job to our ammonia chiller and applying the recommendations from the energy audit, our electricity &amp; gas expenses for period July 2011 to June 2012 were $18,000, a reduction of $22,000 from the previous year.</w:t>
      </w:r>
    </w:p>
    <w:p w14:paraId="7C9695C5" w14:textId="77777777" w:rsidR="00484A77" w:rsidRPr="00D475FC" w:rsidRDefault="00484A77" w:rsidP="00484A77">
      <w:pPr>
        <w:rPr>
          <w:sz w:val="20"/>
          <w:szCs w:val="20"/>
          <w:lang w:eastAsia="zh-CN"/>
        </w:rPr>
      </w:pPr>
      <w:r w:rsidRPr="00D475FC">
        <w:rPr>
          <w:sz w:val="20"/>
          <w:szCs w:val="20"/>
          <w:lang w:eastAsia="zh-CN"/>
        </w:rPr>
        <w:t>With introduction of solar panels on the roof at the winery in Se</w:t>
      </w:r>
      <w:r>
        <w:rPr>
          <w:sz w:val="20"/>
          <w:szCs w:val="20"/>
          <w:lang w:eastAsia="zh-CN"/>
        </w:rPr>
        <w:t xml:space="preserve">ptember 2013, our electricity and </w:t>
      </w:r>
      <w:r w:rsidRPr="00D475FC">
        <w:rPr>
          <w:sz w:val="20"/>
          <w:szCs w:val="20"/>
          <w:lang w:eastAsia="zh-CN"/>
        </w:rPr>
        <w:t>gas expenses for period July 2013 to June 2014 were further reduced from $18,000 to $9,200.</w:t>
      </w:r>
    </w:p>
    <w:p w14:paraId="54F3620A" w14:textId="77777777" w:rsidR="009218C3" w:rsidRPr="00D475FC" w:rsidRDefault="009218C3" w:rsidP="009218C3">
      <w:pPr>
        <w:rPr>
          <w:sz w:val="20"/>
          <w:szCs w:val="20"/>
          <w:lang w:eastAsia="zh-CN"/>
        </w:rPr>
      </w:pPr>
      <w:r w:rsidRPr="00D475FC">
        <w:rPr>
          <w:sz w:val="20"/>
          <w:szCs w:val="20"/>
          <w:lang w:eastAsia="zh-CN"/>
        </w:rPr>
        <w:t>For on-going reductions in carbon emis</w:t>
      </w:r>
      <w:r>
        <w:rPr>
          <w:sz w:val="20"/>
          <w:szCs w:val="20"/>
          <w:lang w:eastAsia="zh-CN"/>
        </w:rPr>
        <w:t>sions, we have implemented</w:t>
      </w:r>
      <w:r w:rsidRPr="00D475FC">
        <w:rPr>
          <w:sz w:val="20"/>
          <w:szCs w:val="20"/>
          <w:lang w:eastAsia="zh-CN"/>
        </w:rPr>
        <w:t xml:space="preserve"> the following:</w:t>
      </w:r>
    </w:p>
    <w:p w14:paraId="46927ED8" w14:textId="77777777" w:rsidR="0045716A" w:rsidRPr="0045716A" w:rsidRDefault="009218C3" w:rsidP="009218C3">
      <w:pPr>
        <w:pStyle w:val="ListParagraph"/>
        <w:numPr>
          <w:ilvl w:val="0"/>
          <w:numId w:val="10"/>
        </w:numPr>
        <w:rPr>
          <w:szCs w:val="20"/>
          <w:lang w:eastAsia="zh-CN"/>
        </w:rPr>
      </w:pPr>
      <w:r w:rsidRPr="00141352">
        <w:rPr>
          <w:szCs w:val="20"/>
          <w:lang w:eastAsia="zh-CN"/>
        </w:rPr>
        <w:t>Recycling of waste (especially bottles and cardboard used for wine). We have established 3 waste</w:t>
      </w:r>
      <w:r w:rsidRPr="00141352">
        <w:rPr>
          <w:color w:val="auto"/>
          <w:szCs w:val="20"/>
          <w:lang w:val="en-AU" w:eastAsia="zh-CN"/>
        </w:rPr>
        <w:t xml:space="preserve"> facilities – general waste (landfill), comingled (bottles, plastic &amp; aluminium)</w:t>
      </w:r>
      <w:r w:rsidRPr="00141352">
        <w:rPr>
          <w:szCs w:val="20"/>
          <w:lang w:eastAsia="zh-CN"/>
        </w:rPr>
        <w:t xml:space="preserve"> and cardboard. This reduces the amount of waste going to landfill and increases recycling of materials like cardboard, glass and plastic.</w:t>
      </w:r>
      <w:r>
        <w:rPr>
          <w:szCs w:val="20"/>
          <w:lang w:eastAsia="zh-CN"/>
        </w:rPr>
        <w:t xml:space="preserve"> It is estimated that this actions has reduced emissions from landfill by 4 t </w:t>
      </w:r>
      <w:r>
        <w:t>C</w:t>
      </w:r>
      <w:r w:rsidRPr="00301453">
        <w:t>O</w:t>
      </w:r>
      <w:r w:rsidRPr="009F79D0">
        <w:rPr>
          <w:vertAlign w:val="subscript"/>
        </w:rPr>
        <w:t>2</w:t>
      </w:r>
      <w:r w:rsidRPr="00301453">
        <w:t>-e</w:t>
      </w:r>
      <w:r>
        <w:t>.</w:t>
      </w:r>
    </w:p>
    <w:p w14:paraId="77680A82" w14:textId="1037C523" w:rsidR="009218C3" w:rsidRPr="0045716A" w:rsidRDefault="009218C3" w:rsidP="009218C3">
      <w:pPr>
        <w:pStyle w:val="ListParagraph"/>
        <w:numPr>
          <w:ilvl w:val="0"/>
          <w:numId w:val="10"/>
        </w:numPr>
        <w:rPr>
          <w:szCs w:val="20"/>
          <w:lang w:eastAsia="zh-CN"/>
        </w:rPr>
      </w:pPr>
      <w:r w:rsidRPr="0045716A">
        <w:rPr>
          <w:szCs w:val="20"/>
          <w:lang w:eastAsia="zh-CN"/>
        </w:rPr>
        <w:t>With some wholesale customers who order our wines each week, we have established a logistics centre in Sydney to dispatch from, which will cut down considerably on smaller shipments of freight.</w:t>
      </w:r>
    </w:p>
    <w:p w14:paraId="2E90A9B2" w14:textId="77777777" w:rsidR="009218C3" w:rsidRDefault="009218C3" w:rsidP="009218C3">
      <w:pPr>
        <w:pStyle w:val="BodyText"/>
        <w:rPr>
          <w:szCs w:val="20"/>
          <w:lang w:eastAsia="zh-CN"/>
        </w:rPr>
      </w:pPr>
    </w:p>
    <w:p w14:paraId="3C735B40" w14:textId="095575B0" w:rsidR="007331FC" w:rsidRDefault="007331FC" w:rsidP="009218C3">
      <w:pPr>
        <w:pStyle w:val="BodyText"/>
        <w:rPr>
          <w:color w:val="auto"/>
          <w:lang w:val="en-GB"/>
        </w:rPr>
      </w:pPr>
      <w:r w:rsidRPr="007331FC">
        <w:rPr>
          <w:i/>
          <w:color w:val="auto"/>
          <w:sz w:val="28"/>
          <w:szCs w:val="28"/>
          <w:u w:val="single"/>
        </w:rPr>
        <w:t xml:space="preserve">Part </w:t>
      </w:r>
      <w:r w:rsidR="0036427E">
        <w:rPr>
          <w:i/>
          <w:color w:val="auto"/>
          <w:sz w:val="28"/>
          <w:szCs w:val="28"/>
          <w:u w:val="single"/>
        </w:rPr>
        <w:t>C</w:t>
      </w:r>
      <w:r w:rsidRPr="007331FC">
        <w:rPr>
          <w:i/>
          <w:color w:val="auto"/>
          <w:sz w:val="28"/>
          <w:szCs w:val="28"/>
          <w:u w:val="single"/>
        </w:rPr>
        <w:t xml:space="preserve">. Emissions reduction </w:t>
      </w:r>
      <w:r w:rsidR="0036427E">
        <w:rPr>
          <w:i/>
          <w:color w:val="auto"/>
          <w:sz w:val="28"/>
          <w:szCs w:val="28"/>
          <w:u w:val="single"/>
        </w:rPr>
        <w:t>actions</w:t>
      </w:r>
    </w:p>
    <w:tbl>
      <w:tblPr>
        <w:tblStyle w:val="TableGrid"/>
        <w:tblW w:w="5000" w:type="pct"/>
        <w:tblBorders>
          <w:top w:val="none" w:sz="0" w:space="0" w:color="auto"/>
          <w:left w:val="none" w:sz="0" w:space="0" w:color="auto"/>
          <w:bottom w:val="none" w:sz="0" w:space="0" w:color="auto"/>
          <w:right w:val="none" w:sz="0" w:space="0" w:color="auto"/>
          <w:insideH w:val="single" w:sz="8" w:space="0" w:color="F8F7F2" w:themeColor="background2" w:themeTint="66"/>
          <w:insideV w:val="single" w:sz="8" w:space="0" w:color="F8F7F2" w:themeColor="background2" w:themeTint="66"/>
        </w:tblBorders>
        <w:tblLook w:val="04A0" w:firstRow="1" w:lastRow="0" w:firstColumn="1" w:lastColumn="0" w:noHBand="0" w:noVBand="1"/>
      </w:tblPr>
      <w:tblGrid>
        <w:gridCol w:w="2189"/>
        <w:gridCol w:w="2881"/>
        <w:gridCol w:w="1148"/>
        <w:gridCol w:w="1149"/>
        <w:gridCol w:w="1353"/>
      </w:tblGrid>
      <w:tr w:rsidR="0036427E" w:rsidRPr="00CE5D8B" w14:paraId="4E361510" w14:textId="77777777" w:rsidTr="00290266">
        <w:tc>
          <w:tcPr>
            <w:tcW w:w="1255" w:type="pct"/>
            <w:shd w:val="clear" w:color="auto" w:fill="DBE5F1" w:themeFill="accent1" w:themeFillTint="33"/>
            <w:vAlign w:val="center"/>
          </w:tcPr>
          <w:p w14:paraId="6D67A13A" w14:textId="77777777" w:rsidR="0036427E" w:rsidRPr="00301453" w:rsidRDefault="0036427E" w:rsidP="00290266">
            <w:pPr>
              <w:pStyle w:val="BodyText"/>
            </w:pPr>
            <w:r w:rsidRPr="00301453">
              <w:t>Emission source</w:t>
            </w:r>
          </w:p>
        </w:tc>
        <w:tc>
          <w:tcPr>
            <w:tcW w:w="1652" w:type="pct"/>
            <w:shd w:val="clear" w:color="auto" w:fill="DBE5F1" w:themeFill="accent1" w:themeFillTint="33"/>
            <w:vAlign w:val="center"/>
          </w:tcPr>
          <w:p w14:paraId="3BA1103A" w14:textId="77777777" w:rsidR="0036427E" w:rsidRPr="00301453" w:rsidRDefault="0036427E" w:rsidP="00290266">
            <w:pPr>
              <w:pStyle w:val="BodyText"/>
            </w:pPr>
            <w:r w:rsidRPr="00301453">
              <w:t>Reduction Measure</w:t>
            </w:r>
          </w:p>
        </w:tc>
        <w:tc>
          <w:tcPr>
            <w:tcW w:w="658" w:type="pct"/>
            <w:shd w:val="clear" w:color="auto" w:fill="DBE5F1" w:themeFill="accent1" w:themeFillTint="33"/>
            <w:vAlign w:val="center"/>
          </w:tcPr>
          <w:p w14:paraId="2CF8591D" w14:textId="77777777" w:rsidR="0036427E" w:rsidRPr="00301453" w:rsidRDefault="0036427E" w:rsidP="00290266">
            <w:pPr>
              <w:pStyle w:val="BodyText"/>
            </w:pPr>
            <w:r w:rsidRPr="00301453">
              <w:t>Scope</w:t>
            </w:r>
          </w:p>
        </w:tc>
        <w:tc>
          <w:tcPr>
            <w:tcW w:w="659" w:type="pct"/>
            <w:shd w:val="clear" w:color="auto" w:fill="DBE5F1" w:themeFill="accent1" w:themeFillTint="33"/>
            <w:vAlign w:val="center"/>
          </w:tcPr>
          <w:p w14:paraId="4E7F716B" w14:textId="77777777" w:rsidR="0036427E" w:rsidRPr="00301453" w:rsidRDefault="0036427E" w:rsidP="00290266">
            <w:pPr>
              <w:pStyle w:val="BodyText"/>
            </w:pPr>
            <w:r w:rsidRPr="00301453">
              <w:t>Status</w:t>
            </w:r>
          </w:p>
        </w:tc>
        <w:tc>
          <w:tcPr>
            <w:tcW w:w="776" w:type="pct"/>
            <w:shd w:val="clear" w:color="auto" w:fill="DBE5F1" w:themeFill="accent1" w:themeFillTint="33"/>
            <w:vAlign w:val="center"/>
          </w:tcPr>
          <w:p w14:paraId="0A2F0571" w14:textId="77777777" w:rsidR="0036427E" w:rsidRPr="00301453" w:rsidRDefault="0036427E" w:rsidP="00290266">
            <w:pPr>
              <w:pStyle w:val="BodyText"/>
            </w:pPr>
            <w:r w:rsidRPr="00301453">
              <w:t>Reduction</w:t>
            </w:r>
          </w:p>
          <w:p w14:paraId="48F08549" w14:textId="009A536A" w:rsidR="0036427E" w:rsidRPr="00301453" w:rsidRDefault="0036427E" w:rsidP="0036427E">
            <w:pPr>
              <w:pStyle w:val="BodyText"/>
            </w:pPr>
            <w:r w:rsidRPr="00301453">
              <w:t xml:space="preserve">t </w:t>
            </w:r>
            <w:r>
              <w:t>C</w:t>
            </w:r>
            <w:r w:rsidRPr="00301453">
              <w:t>O</w:t>
            </w:r>
            <w:r w:rsidRPr="009F79D0">
              <w:rPr>
                <w:vertAlign w:val="subscript"/>
              </w:rPr>
              <w:t>2</w:t>
            </w:r>
            <w:r w:rsidRPr="00301453">
              <w:t>-e</w:t>
            </w:r>
          </w:p>
        </w:tc>
      </w:tr>
      <w:tr w:rsidR="0036427E" w:rsidRPr="00301453" w14:paraId="69536741" w14:textId="77777777" w:rsidTr="00290266">
        <w:tc>
          <w:tcPr>
            <w:tcW w:w="1255" w:type="pct"/>
            <w:vAlign w:val="center"/>
          </w:tcPr>
          <w:p w14:paraId="0BD2F4F6" w14:textId="77777777" w:rsidR="0036427E" w:rsidRPr="00301453" w:rsidRDefault="00C809F9" w:rsidP="00290266">
            <w:pPr>
              <w:pStyle w:val="BodyText"/>
              <w:rPr>
                <w:sz w:val="17"/>
                <w:szCs w:val="17"/>
              </w:rPr>
            </w:pPr>
            <w:sdt>
              <w:sdtPr>
                <w:rPr>
                  <w:sz w:val="17"/>
                  <w:szCs w:val="17"/>
                </w:rPr>
                <w:id w:val="988135522"/>
              </w:sdtPr>
              <w:sdtEndPr/>
              <w:sdtContent>
                <w:r w:rsidR="0036427E">
                  <w:rPr>
                    <w:sz w:val="17"/>
                    <w:szCs w:val="17"/>
                  </w:rPr>
                  <w:t>Waste</w:t>
                </w:r>
              </w:sdtContent>
            </w:sdt>
          </w:p>
        </w:tc>
        <w:tc>
          <w:tcPr>
            <w:tcW w:w="1652" w:type="pct"/>
            <w:vAlign w:val="center"/>
          </w:tcPr>
          <w:p w14:paraId="370C354B" w14:textId="77777777" w:rsidR="0036427E" w:rsidRPr="00301453" w:rsidRDefault="00C809F9" w:rsidP="00290266">
            <w:pPr>
              <w:pStyle w:val="BodyText"/>
              <w:rPr>
                <w:sz w:val="17"/>
                <w:szCs w:val="17"/>
              </w:rPr>
            </w:pPr>
            <w:sdt>
              <w:sdtPr>
                <w:rPr>
                  <w:sz w:val="17"/>
                  <w:szCs w:val="17"/>
                </w:rPr>
                <w:id w:val="-850415042"/>
              </w:sdtPr>
              <w:sdtEndPr/>
              <w:sdtContent>
                <w:r w:rsidR="0036427E">
                  <w:rPr>
                    <w:sz w:val="17"/>
                    <w:szCs w:val="17"/>
                  </w:rPr>
                  <w:t>Increase diversion from landfill</w:t>
                </w:r>
              </w:sdtContent>
            </w:sdt>
          </w:p>
        </w:tc>
        <w:tc>
          <w:tcPr>
            <w:tcW w:w="658" w:type="pct"/>
            <w:vAlign w:val="center"/>
          </w:tcPr>
          <w:p w14:paraId="6A65535D" w14:textId="77777777" w:rsidR="0036427E" w:rsidRPr="00301453" w:rsidRDefault="0036427E" w:rsidP="00290266">
            <w:pPr>
              <w:pStyle w:val="BodyText"/>
              <w:jc w:val="center"/>
              <w:rPr>
                <w:sz w:val="17"/>
                <w:szCs w:val="17"/>
              </w:rPr>
            </w:pPr>
            <w:r>
              <w:rPr>
                <w:sz w:val="17"/>
                <w:szCs w:val="17"/>
              </w:rPr>
              <w:t>3</w:t>
            </w:r>
          </w:p>
        </w:tc>
        <w:tc>
          <w:tcPr>
            <w:tcW w:w="659" w:type="pct"/>
            <w:vAlign w:val="center"/>
          </w:tcPr>
          <w:p w14:paraId="4C3BFDD0" w14:textId="77777777" w:rsidR="0036427E" w:rsidRPr="00301453" w:rsidRDefault="0036427E" w:rsidP="00290266">
            <w:pPr>
              <w:pStyle w:val="BodyText"/>
              <w:rPr>
                <w:sz w:val="17"/>
                <w:szCs w:val="17"/>
              </w:rPr>
            </w:pPr>
            <w:r>
              <w:rPr>
                <w:sz w:val="17"/>
                <w:szCs w:val="17"/>
              </w:rPr>
              <w:t>On-going</w:t>
            </w:r>
          </w:p>
        </w:tc>
        <w:tc>
          <w:tcPr>
            <w:tcW w:w="776" w:type="pct"/>
            <w:vAlign w:val="center"/>
          </w:tcPr>
          <w:p w14:paraId="3484E509" w14:textId="77777777" w:rsidR="0036427E" w:rsidRPr="00301453" w:rsidRDefault="00C809F9" w:rsidP="00290266">
            <w:pPr>
              <w:pStyle w:val="BodyText"/>
              <w:jc w:val="center"/>
              <w:rPr>
                <w:sz w:val="17"/>
                <w:szCs w:val="17"/>
              </w:rPr>
            </w:pPr>
            <w:sdt>
              <w:sdtPr>
                <w:rPr>
                  <w:sz w:val="17"/>
                  <w:szCs w:val="17"/>
                </w:rPr>
                <w:id w:val="1196881856"/>
              </w:sdtPr>
              <w:sdtEndPr/>
              <w:sdtContent>
                <w:r w:rsidR="0036427E">
                  <w:rPr>
                    <w:sz w:val="17"/>
                    <w:szCs w:val="17"/>
                  </w:rPr>
                  <w:t xml:space="preserve">0.5-1 </w:t>
                </w:r>
              </w:sdtContent>
            </w:sdt>
          </w:p>
        </w:tc>
      </w:tr>
      <w:tr w:rsidR="0036427E" w:rsidRPr="00301453" w14:paraId="16CEE967" w14:textId="77777777" w:rsidTr="00290266">
        <w:sdt>
          <w:sdtPr>
            <w:rPr>
              <w:sz w:val="17"/>
              <w:szCs w:val="17"/>
            </w:rPr>
            <w:id w:val="-500740179"/>
          </w:sdtPr>
          <w:sdtEndPr/>
          <w:sdtContent>
            <w:tc>
              <w:tcPr>
                <w:tcW w:w="1255" w:type="pct"/>
                <w:vAlign w:val="center"/>
              </w:tcPr>
              <w:p w14:paraId="3FAD126A" w14:textId="77777777" w:rsidR="0036427E" w:rsidRPr="00301453" w:rsidRDefault="0036427E" w:rsidP="00290266">
                <w:pPr>
                  <w:pStyle w:val="BodyText"/>
                  <w:rPr>
                    <w:sz w:val="17"/>
                    <w:szCs w:val="17"/>
                  </w:rPr>
                </w:pPr>
                <w:r>
                  <w:rPr>
                    <w:sz w:val="17"/>
                    <w:szCs w:val="17"/>
                  </w:rPr>
                  <w:t>Freight</w:t>
                </w:r>
              </w:p>
            </w:tc>
          </w:sdtContent>
        </w:sdt>
        <w:sdt>
          <w:sdtPr>
            <w:rPr>
              <w:sz w:val="17"/>
              <w:szCs w:val="17"/>
            </w:rPr>
            <w:id w:val="-287515110"/>
          </w:sdtPr>
          <w:sdtEndPr/>
          <w:sdtContent>
            <w:tc>
              <w:tcPr>
                <w:tcW w:w="1652" w:type="pct"/>
                <w:vAlign w:val="center"/>
              </w:tcPr>
              <w:p w14:paraId="6DA83243" w14:textId="77777777" w:rsidR="0036427E" w:rsidRPr="00301453" w:rsidRDefault="0036427E" w:rsidP="00290266">
                <w:pPr>
                  <w:pStyle w:val="BodyText"/>
                  <w:rPr>
                    <w:sz w:val="17"/>
                    <w:szCs w:val="17"/>
                  </w:rPr>
                </w:pPr>
                <w:r>
                  <w:rPr>
                    <w:sz w:val="17"/>
                    <w:szCs w:val="17"/>
                  </w:rPr>
                  <w:t>Utilise logistics centre for dispatch</w:t>
                </w:r>
              </w:p>
            </w:tc>
          </w:sdtContent>
        </w:sdt>
        <w:tc>
          <w:tcPr>
            <w:tcW w:w="658" w:type="pct"/>
            <w:vAlign w:val="center"/>
          </w:tcPr>
          <w:p w14:paraId="689D38A9" w14:textId="77777777" w:rsidR="0036427E" w:rsidRPr="00301453" w:rsidRDefault="0036427E" w:rsidP="00290266">
            <w:pPr>
              <w:pStyle w:val="BodyText"/>
              <w:jc w:val="center"/>
              <w:rPr>
                <w:sz w:val="17"/>
                <w:szCs w:val="17"/>
              </w:rPr>
            </w:pPr>
            <w:r>
              <w:rPr>
                <w:sz w:val="17"/>
                <w:szCs w:val="17"/>
              </w:rPr>
              <w:t>3</w:t>
            </w:r>
          </w:p>
        </w:tc>
        <w:tc>
          <w:tcPr>
            <w:tcW w:w="659" w:type="pct"/>
            <w:vAlign w:val="center"/>
          </w:tcPr>
          <w:p w14:paraId="7293A334" w14:textId="77777777" w:rsidR="0036427E" w:rsidRPr="00301453" w:rsidRDefault="0036427E" w:rsidP="00290266">
            <w:pPr>
              <w:pStyle w:val="BodyText"/>
              <w:rPr>
                <w:sz w:val="17"/>
                <w:szCs w:val="17"/>
              </w:rPr>
            </w:pPr>
            <w:r>
              <w:rPr>
                <w:sz w:val="17"/>
                <w:szCs w:val="17"/>
              </w:rPr>
              <w:t>On-going</w:t>
            </w:r>
          </w:p>
        </w:tc>
        <w:sdt>
          <w:sdtPr>
            <w:rPr>
              <w:sz w:val="17"/>
              <w:szCs w:val="17"/>
            </w:rPr>
            <w:id w:val="-1073192877"/>
          </w:sdtPr>
          <w:sdtEndPr/>
          <w:sdtContent>
            <w:tc>
              <w:tcPr>
                <w:tcW w:w="776" w:type="pct"/>
                <w:vAlign w:val="center"/>
              </w:tcPr>
              <w:p w14:paraId="24E8ECBE" w14:textId="77777777" w:rsidR="0036427E" w:rsidRPr="00301453" w:rsidRDefault="0036427E" w:rsidP="00290266">
                <w:pPr>
                  <w:pStyle w:val="BodyText"/>
                  <w:jc w:val="center"/>
                  <w:rPr>
                    <w:sz w:val="17"/>
                    <w:szCs w:val="17"/>
                  </w:rPr>
                </w:pPr>
                <w:r>
                  <w:rPr>
                    <w:sz w:val="17"/>
                    <w:szCs w:val="17"/>
                  </w:rPr>
                  <w:t>5-10</w:t>
                </w:r>
              </w:p>
            </w:tc>
          </w:sdtContent>
        </w:sdt>
      </w:tr>
      <w:tr w:rsidR="0036427E" w14:paraId="36EF8889" w14:textId="77777777" w:rsidTr="00290266">
        <w:tc>
          <w:tcPr>
            <w:tcW w:w="4224" w:type="pct"/>
            <w:gridSpan w:val="4"/>
            <w:shd w:val="clear" w:color="auto" w:fill="DBE5F1" w:themeFill="accent1" w:themeFillTint="33"/>
            <w:vAlign w:val="center"/>
          </w:tcPr>
          <w:p w14:paraId="1ADCC69F" w14:textId="77777777" w:rsidR="0036427E" w:rsidRPr="00301453" w:rsidRDefault="0036427E" w:rsidP="00290266">
            <w:pPr>
              <w:pStyle w:val="BodyText"/>
            </w:pPr>
            <w:r w:rsidRPr="00301453">
              <w:t>Total emission reductions implemented in this reporting period</w:t>
            </w:r>
          </w:p>
        </w:tc>
        <w:sdt>
          <w:sdtPr>
            <w:id w:val="-1206166581"/>
          </w:sdtPr>
          <w:sdtEndPr/>
          <w:sdtContent>
            <w:tc>
              <w:tcPr>
                <w:tcW w:w="776" w:type="pct"/>
                <w:vAlign w:val="center"/>
              </w:tcPr>
              <w:p w14:paraId="22BC9010" w14:textId="60105679" w:rsidR="0036427E" w:rsidRPr="00301453" w:rsidRDefault="009218C3" w:rsidP="00290266">
                <w:pPr>
                  <w:pStyle w:val="BodyText"/>
                </w:pPr>
                <w:r>
                  <w:t>4</w:t>
                </w:r>
              </w:p>
            </w:tc>
          </w:sdtContent>
        </w:sdt>
      </w:tr>
      <w:tr w:rsidR="0036427E" w14:paraId="1268BE9A" w14:textId="77777777" w:rsidTr="00290266">
        <w:tc>
          <w:tcPr>
            <w:tcW w:w="4224" w:type="pct"/>
            <w:gridSpan w:val="4"/>
            <w:shd w:val="clear" w:color="auto" w:fill="DBE5F1" w:themeFill="accent1" w:themeFillTint="33"/>
            <w:vAlign w:val="center"/>
          </w:tcPr>
          <w:p w14:paraId="1E55B7A1" w14:textId="77777777" w:rsidR="0036427E" w:rsidRPr="00301453" w:rsidRDefault="0036427E" w:rsidP="00290266">
            <w:pPr>
              <w:pStyle w:val="BodyText"/>
            </w:pPr>
            <w:r w:rsidRPr="00301453">
              <w:t>Total expected emission reductions in future reporting periods</w:t>
            </w:r>
          </w:p>
        </w:tc>
        <w:sdt>
          <w:sdtPr>
            <w:id w:val="-459257932"/>
          </w:sdtPr>
          <w:sdtEndPr/>
          <w:sdtContent>
            <w:tc>
              <w:tcPr>
                <w:tcW w:w="776" w:type="pct"/>
                <w:vAlign w:val="center"/>
              </w:tcPr>
              <w:p w14:paraId="59725661" w14:textId="77777777" w:rsidR="0036427E" w:rsidRPr="00301453" w:rsidRDefault="0036427E" w:rsidP="00290266">
                <w:pPr>
                  <w:pStyle w:val="BodyText"/>
                </w:pPr>
                <w:r>
                  <w:t>5.5-11</w:t>
                </w:r>
              </w:p>
            </w:tc>
          </w:sdtContent>
        </w:sdt>
      </w:tr>
    </w:tbl>
    <w:p w14:paraId="4E7CDDDA" w14:textId="77777777" w:rsidR="00D50098" w:rsidRDefault="00B4431C" w:rsidP="00D50098">
      <w:pPr>
        <w:pStyle w:val="Heading1"/>
      </w:pPr>
      <w:r>
        <w:t>3</w:t>
      </w:r>
      <w:r w:rsidR="00D50098">
        <w:t xml:space="preserve">. </w:t>
      </w:r>
      <w:r w:rsidR="00843C77">
        <w:t>E</w:t>
      </w:r>
      <w:r w:rsidR="00D50098" w:rsidRPr="00D3304A">
        <w:t>mission</w:t>
      </w:r>
      <w:r w:rsidR="00D50098">
        <w:t>s</w:t>
      </w:r>
      <w:r w:rsidR="00D50098" w:rsidRPr="00D3304A">
        <w:t xml:space="preserve"> </w:t>
      </w:r>
      <w:r w:rsidR="00D50098">
        <w:t>summary</w:t>
      </w:r>
      <w:r w:rsidR="00D50098" w:rsidRPr="00D3304A">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8" w:space="0" w:color="F8F7F2" w:themeColor="background2" w:themeTint="66"/>
          <w:insideV w:val="single" w:sz="8" w:space="0" w:color="F8F7F2" w:themeColor="background2" w:themeTint="66"/>
        </w:tblBorders>
        <w:tblLook w:val="04A0" w:firstRow="1" w:lastRow="0" w:firstColumn="1" w:lastColumn="0" w:noHBand="0" w:noVBand="1"/>
      </w:tblPr>
      <w:tblGrid>
        <w:gridCol w:w="856"/>
        <w:gridCol w:w="5654"/>
        <w:gridCol w:w="2210"/>
      </w:tblGrid>
      <w:tr w:rsidR="00484A77" w14:paraId="7AB29C55" w14:textId="77777777" w:rsidTr="00484A77">
        <w:trPr>
          <w:cantSplit/>
          <w:trHeight w:val="411"/>
          <w:tblHeader/>
        </w:trPr>
        <w:tc>
          <w:tcPr>
            <w:tcW w:w="5000" w:type="pct"/>
            <w:gridSpan w:val="3"/>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4F5B3FFD" w14:textId="4CBD5C02" w:rsidR="00484A77" w:rsidRPr="00355822" w:rsidRDefault="00484A77" w:rsidP="00484A77">
            <w:pPr>
              <w:pStyle w:val="BodyText"/>
              <w:spacing w:after="200"/>
              <w:rPr>
                <w:sz w:val="22"/>
              </w:rPr>
            </w:pPr>
            <w:r w:rsidRPr="00355822">
              <w:rPr>
                <w:sz w:val="22"/>
              </w:rPr>
              <w:t>Emissions Summary</w:t>
            </w:r>
          </w:p>
        </w:tc>
      </w:tr>
      <w:tr w:rsidR="00484A77" w14:paraId="3A372B0C" w14:textId="77777777" w:rsidTr="00171961">
        <w:trPr>
          <w:cantSplit/>
          <w:tblHeader/>
        </w:trPr>
        <w:tc>
          <w:tcPr>
            <w:tcW w:w="491" w:type="pct"/>
            <w:tcBorders>
              <w:top w:val="nil"/>
              <w:left w:val="single" w:sz="4" w:space="0" w:color="auto"/>
              <w:bottom w:val="single" w:sz="4" w:space="0" w:color="auto"/>
              <w:right w:val="nil"/>
            </w:tcBorders>
            <w:shd w:val="clear" w:color="auto" w:fill="DBE5F1" w:themeFill="accent1" w:themeFillTint="33"/>
            <w:vAlign w:val="center"/>
            <w:hideMark/>
          </w:tcPr>
          <w:p w14:paraId="31245766" w14:textId="77777777" w:rsidR="00484A77" w:rsidRDefault="00484A77" w:rsidP="00484A77">
            <w:pPr>
              <w:pStyle w:val="BodyText"/>
              <w:spacing w:before="100" w:after="100"/>
            </w:pPr>
            <w:r>
              <w:t>Scope</w:t>
            </w:r>
          </w:p>
        </w:tc>
        <w:tc>
          <w:tcPr>
            <w:tcW w:w="3242" w:type="pct"/>
            <w:tcBorders>
              <w:top w:val="nil"/>
              <w:left w:val="nil"/>
              <w:bottom w:val="single" w:sz="4" w:space="0" w:color="auto"/>
              <w:right w:val="nil"/>
            </w:tcBorders>
            <w:shd w:val="clear" w:color="auto" w:fill="DBE5F1" w:themeFill="accent1" w:themeFillTint="33"/>
            <w:vAlign w:val="center"/>
            <w:hideMark/>
          </w:tcPr>
          <w:p w14:paraId="5A39BAE5" w14:textId="77777777" w:rsidR="00484A77" w:rsidRDefault="00484A77" w:rsidP="00484A77">
            <w:pPr>
              <w:pStyle w:val="BodyText"/>
              <w:spacing w:before="100" w:after="100"/>
            </w:pPr>
            <w:r>
              <w:t xml:space="preserve">Emission source </w:t>
            </w:r>
          </w:p>
        </w:tc>
        <w:tc>
          <w:tcPr>
            <w:tcW w:w="1267" w:type="pct"/>
            <w:tcBorders>
              <w:top w:val="nil"/>
              <w:left w:val="nil"/>
              <w:bottom w:val="single" w:sz="4" w:space="0" w:color="auto"/>
              <w:right w:val="single" w:sz="4" w:space="0" w:color="auto"/>
            </w:tcBorders>
            <w:shd w:val="clear" w:color="auto" w:fill="DBE5F1" w:themeFill="accent1" w:themeFillTint="33"/>
            <w:vAlign w:val="center"/>
            <w:hideMark/>
          </w:tcPr>
          <w:p w14:paraId="73C3D109" w14:textId="77777777" w:rsidR="00484A77" w:rsidRDefault="00484A77" w:rsidP="00484A77">
            <w:pPr>
              <w:pStyle w:val="BodyText"/>
              <w:spacing w:before="100" w:after="100"/>
              <w:jc w:val="center"/>
            </w:pPr>
            <w:r>
              <w:t>tCO</w:t>
            </w:r>
            <w:r>
              <w:rPr>
                <w:vertAlign w:val="subscript"/>
              </w:rPr>
              <w:t>2</w:t>
            </w:r>
            <w:r>
              <w:t>-e</w:t>
            </w:r>
          </w:p>
        </w:tc>
      </w:tr>
      <w:tr w:rsidR="00B244F7" w:rsidRPr="00687A66" w14:paraId="53E0E7CC" w14:textId="77777777" w:rsidTr="00C63C82">
        <w:trPr>
          <w:cantSplit/>
        </w:trPr>
        <w:tc>
          <w:tcPr>
            <w:tcW w:w="491" w:type="pct"/>
            <w:tcBorders>
              <w:top w:val="single" w:sz="4" w:space="0" w:color="auto"/>
              <w:left w:val="single" w:sz="4" w:space="0" w:color="auto"/>
              <w:bottom w:val="single" w:sz="4" w:space="0" w:color="auto"/>
              <w:right w:val="single" w:sz="4" w:space="0" w:color="auto"/>
            </w:tcBorders>
          </w:tcPr>
          <w:p w14:paraId="6D046011" w14:textId="58408272" w:rsidR="00B244F7" w:rsidRDefault="00B244F7" w:rsidP="00B244F7">
            <w:pPr>
              <w:pStyle w:val="Tabletext"/>
            </w:pPr>
            <w:r w:rsidRPr="00905A8E">
              <w:rPr>
                <w:color w:val="auto"/>
              </w:rPr>
              <w:t>1</w:t>
            </w:r>
          </w:p>
        </w:tc>
        <w:tc>
          <w:tcPr>
            <w:tcW w:w="3242" w:type="pct"/>
            <w:tcBorders>
              <w:top w:val="single" w:sz="4" w:space="0" w:color="auto"/>
              <w:left w:val="single" w:sz="4" w:space="0" w:color="auto"/>
              <w:bottom w:val="single" w:sz="4" w:space="0" w:color="auto"/>
              <w:right w:val="single" w:sz="4" w:space="0" w:color="auto"/>
            </w:tcBorders>
          </w:tcPr>
          <w:p w14:paraId="5BE65526" w14:textId="52B3CA62" w:rsidR="00B244F7" w:rsidRDefault="00B244F7" w:rsidP="00B244F7">
            <w:pPr>
              <w:pStyle w:val="Tabletext"/>
            </w:pPr>
            <w:r w:rsidRPr="00905A8E">
              <w:rPr>
                <w:rFonts w:cs="Calibri"/>
                <w:color w:val="auto"/>
              </w:rPr>
              <w:t>Company cars fuel - Post 2004 Diesel</w:t>
            </w:r>
          </w:p>
        </w:tc>
        <w:tc>
          <w:tcPr>
            <w:tcW w:w="1267" w:type="pct"/>
            <w:tcBorders>
              <w:top w:val="single" w:sz="4" w:space="0" w:color="auto"/>
              <w:left w:val="single" w:sz="4" w:space="0" w:color="auto"/>
              <w:bottom w:val="single" w:sz="4" w:space="0" w:color="auto"/>
              <w:right w:val="single" w:sz="4" w:space="0" w:color="auto"/>
            </w:tcBorders>
            <w:vAlign w:val="center"/>
          </w:tcPr>
          <w:p w14:paraId="2E5D7F14" w14:textId="6EB386D2" w:rsidR="00B244F7" w:rsidRDefault="00B244F7" w:rsidP="00B244F7">
            <w:pPr>
              <w:pStyle w:val="Tabletext"/>
              <w:jc w:val="center"/>
            </w:pPr>
            <w:r>
              <w:t>16.6</w:t>
            </w:r>
          </w:p>
        </w:tc>
      </w:tr>
      <w:tr w:rsidR="00484A77" w:rsidRPr="00687A66" w14:paraId="1EE9BD42"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140525B5" w14:textId="77777777" w:rsidR="00484A77" w:rsidRDefault="00484A77" w:rsidP="00484A77">
            <w:pPr>
              <w:pStyle w:val="Tabletext"/>
            </w:pPr>
            <w:r>
              <w:t>1</w:t>
            </w:r>
          </w:p>
        </w:tc>
        <w:tc>
          <w:tcPr>
            <w:tcW w:w="3242" w:type="pct"/>
            <w:tcBorders>
              <w:top w:val="single" w:sz="4" w:space="0" w:color="auto"/>
              <w:left w:val="single" w:sz="4" w:space="0" w:color="auto"/>
              <w:bottom w:val="single" w:sz="4" w:space="0" w:color="auto"/>
              <w:right w:val="single" w:sz="4" w:space="0" w:color="auto"/>
            </w:tcBorders>
            <w:vAlign w:val="center"/>
          </w:tcPr>
          <w:p w14:paraId="24845970" w14:textId="77777777" w:rsidR="00484A77" w:rsidRDefault="00484A77" w:rsidP="00484A77">
            <w:pPr>
              <w:pStyle w:val="Tabletext"/>
            </w:pPr>
            <w:r>
              <w:t>Stationary Fuel:</w:t>
            </w:r>
            <w:r>
              <w:br/>
              <w:t>Cylindrical Gas</w:t>
            </w:r>
          </w:p>
        </w:tc>
        <w:tc>
          <w:tcPr>
            <w:tcW w:w="1267" w:type="pct"/>
            <w:tcBorders>
              <w:top w:val="single" w:sz="4" w:space="0" w:color="auto"/>
              <w:left w:val="single" w:sz="4" w:space="0" w:color="auto"/>
              <w:bottom w:val="single" w:sz="4" w:space="0" w:color="auto"/>
              <w:right w:val="single" w:sz="4" w:space="0" w:color="auto"/>
            </w:tcBorders>
            <w:vAlign w:val="center"/>
          </w:tcPr>
          <w:p w14:paraId="0467D883" w14:textId="38C66E6A" w:rsidR="00484A77" w:rsidRDefault="009218C3" w:rsidP="00484A77">
            <w:pPr>
              <w:pStyle w:val="Tabletext"/>
              <w:jc w:val="center"/>
            </w:pPr>
            <w:r>
              <w:t>5.7</w:t>
            </w:r>
          </w:p>
        </w:tc>
      </w:tr>
      <w:tr w:rsidR="00484A77" w:rsidRPr="00687A66" w14:paraId="3AC50DB8"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080E5224" w14:textId="77777777" w:rsidR="00484A77" w:rsidRDefault="00484A77" w:rsidP="00484A77">
            <w:pPr>
              <w:pStyle w:val="Tabletext"/>
            </w:pPr>
            <w:r>
              <w:t>2</w:t>
            </w:r>
          </w:p>
        </w:tc>
        <w:tc>
          <w:tcPr>
            <w:tcW w:w="3242" w:type="pct"/>
            <w:tcBorders>
              <w:top w:val="single" w:sz="4" w:space="0" w:color="auto"/>
              <w:left w:val="single" w:sz="4" w:space="0" w:color="auto"/>
              <w:bottom w:val="single" w:sz="4" w:space="0" w:color="auto"/>
              <w:right w:val="single" w:sz="4" w:space="0" w:color="auto"/>
            </w:tcBorders>
            <w:vAlign w:val="center"/>
          </w:tcPr>
          <w:p w14:paraId="2871D54B" w14:textId="77777777" w:rsidR="00484A77" w:rsidRDefault="00484A77" w:rsidP="00484A77">
            <w:pPr>
              <w:pStyle w:val="Tabletext"/>
            </w:pPr>
            <w:r>
              <w:t>Electricity</w:t>
            </w:r>
          </w:p>
        </w:tc>
        <w:tc>
          <w:tcPr>
            <w:tcW w:w="1267" w:type="pct"/>
            <w:tcBorders>
              <w:top w:val="single" w:sz="4" w:space="0" w:color="auto"/>
              <w:left w:val="single" w:sz="4" w:space="0" w:color="auto"/>
              <w:bottom w:val="single" w:sz="4" w:space="0" w:color="auto"/>
              <w:right w:val="single" w:sz="4" w:space="0" w:color="auto"/>
            </w:tcBorders>
            <w:vAlign w:val="center"/>
          </w:tcPr>
          <w:p w14:paraId="32106A26" w14:textId="7BF6C814" w:rsidR="00484A77" w:rsidRDefault="009218C3" w:rsidP="00484A77">
            <w:pPr>
              <w:pStyle w:val="Tabletext"/>
              <w:jc w:val="center"/>
            </w:pPr>
            <w:r>
              <w:t>67.7</w:t>
            </w:r>
          </w:p>
        </w:tc>
      </w:tr>
      <w:tr w:rsidR="00484A77" w:rsidRPr="00687A66" w14:paraId="793B36BB"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6F5B05AA"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11F52D84" w14:textId="238696A9" w:rsidR="00484A77" w:rsidRDefault="009218C3" w:rsidP="00484A77">
            <w:pPr>
              <w:pStyle w:val="Tabletext"/>
            </w:pPr>
            <w:r>
              <w:t>Transport Fuel:</w:t>
            </w:r>
            <w:r>
              <w:br/>
              <w:t>Diesel</w:t>
            </w:r>
            <w:r w:rsidR="00484A77">
              <w:t xml:space="preserve"> (Post 2004)</w:t>
            </w:r>
          </w:p>
        </w:tc>
        <w:tc>
          <w:tcPr>
            <w:tcW w:w="1267" w:type="pct"/>
            <w:tcBorders>
              <w:top w:val="single" w:sz="4" w:space="0" w:color="auto"/>
              <w:left w:val="single" w:sz="4" w:space="0" w:color="auto"/>
              <w:bottom w:val="single" w:sz="4" w:space="0" w:color="auto"/>
              <w:right w:val="single" w:sz="4" w:space="0" w:color="auto"/>
            </w:tcBorders>
            <w:vAlign w:val="center"/>
          </w:tcPr>
          <w:p w14:paraId="05DFE405" w14:textId="3467035B" w:rsidR="00484A77" w:rsidRDefault="009218C3" w:rsidP="00484A77">
            <w:pPr>
              <w:pStyle w:val="Tabletext"/>
              <w:jc w:val="center"/>
            </w:pPr>
            <w:r>
              <w:t>0.8</w:t>
            </w:r>
          </w:p>
        </w:tc>
      </w:tr>
      <w:tr w:rsidR="00484A77" w:rsidRPr="00687A66" w14:paraId="3FB80D24"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6FAF967F"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3E2D7C00" w14:textId="77777777" w:rsidR="00484A77" w:rsidRDefault="00484A77" w:rsidP="00484A77">
            <w:pPr>
              <w:pStyle w:val="Tabletext"/>
            </w:pPr>
            <w:r>
              <w:t>Transport Fuel: (Private Vehicles)</w:t>
            </w:r>
            <w:r>
              <w:br/>
              <w:t>Gasoline (Post 2004)</w:t>
            </w:r>
          </w:p>
        </w:tc>
        <w:tc>
          <w:tcPr>
            <w:tcW w:w="1267" w:type="pct"/>
            <w:tcBorders>
              <w:top w:val="single" w:sz="4" w:space="0" w:color="auto"/>
              <w:left w:val="single" w:sz="4" w:space="0" w:color="auto"/>
              <w:bottom w:val="single" w:sz="4" w:space="0" w:color="auto"/>
              <w:right w:val="single" w:sz="4" w:space="0" w:color="auto"/>
            </w:tcBorders>
            <w:vAlign w:val="center"/>
          </w:tcPr>
          <w:p w14:paraId="71FADB32" w14:textId="7771392B" w:rsidR="00484A77" w:rsidRDefault="009218C3" w:rsidP="00484A77">
            <w:pPr>
              <w:pStyle w:val="Tabletext"/>
              <w:jc w:val="center"/>
            </w:pPr>
            <w:r>
              <w:t>6.9</w:t>
            </w:r>
          </w:p>
        </w:tc>
      </w:tr>
      <w:tr w:rsidR="00484A77" w:rsidRPr="00687A66" w14:paraId="0AA9CB27"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1F429450"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584075F6" w14:textId="77777777" w:rsidR="00484A77" w:rsidRDefault="00484A77" w:rsidP="00484A77">
            <w:pPr>
              <w:pStyle w:val="Tabletext"/>
            </w:pPr>
            <w:r>
              <w:t>Stationary Fuel:</w:t>
            </w:r>
            <w:r>
              <w:br/>
              <w:t>Cylindrical Gas</w:t>
            </w:r>
          </w:p>
        </w:tc>
        <w:tc>
          <w:tcPr>
            <w:tcW w:w="1267" w:type="pct"/>
            <w:tcBorders>
              <w:top w:val="single" w:sz="4" w:space="0" w:color="auto"/>
              <w:left w:val="single" w:sz="4" w:space="0" w:color="auto"/>
              <w:bottom w:val="single" w:sz="4" w:space="0" w:color="auto"/>
              <w:right w:val="single" w:sz="4" w:space="0" w:color="auto"/>
            </w:tcBorders>
            <w:vAlign w:val="center"/>
          </w:tcPr>
          <w:p w14:paraId="3BFA4159" w14:textId="6BEA73A7" w:rsidR="00484A77" w:rsidRDefault="009218C3" w:rsidP="00484A77">
            <w:pPr>
              <w:pStyle w:val="Tabletext"/>
              <w:jc w:val="center"/>
            </w:pPr>
            <w:r>
              <w:t>0.3</w:t>
            </w:r>
          </w:p>
        </w:tc>
      </w:tr>
      <w:tr w:rsidR="00484A77" w:rsidRPr="00687A66" w14:paraId="4F0ACCA8"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2EE34626"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6006F55F" w14:textId="77777777" w:rsidR="00484A77" w:rsidRDefault="00484A77" w:rsidP="00484A77">
            <w:pPr>
              <w:pStyle w:val="Tabletext"/>
            </w:pPr>
            <w:r>
              <w:t>Electricity</w:t>
            </w:r>
          </w:p>
        </w:tc>
        <w:tc>
          <w:tcPr>
            <w:tcW w:w="1267" w:type="pct"/>
            <w:tcBorders>
              <w:top w:val="single" w:sz="4" w:space="0" w:color="auto"/>
              <w:left w:val="single" w:sz="4" w:space="0" w:color="auto"/>
              <w:bottom w:val="single" w:sz="4" w:space="0" w:color="auto"/>
              <w:right w:val="single" w:sz="4" w:space="0" w:color="auto"/>
            </w:tcBorders>
            <w:vAlign w:val="center"/>
          </w:tcPr>
          <w:p w14:paraId="060027FD" w14:textId="77777777" w:rsidR="00484A77" w:rsidRDefault="00484A77" w:rsidP="00484A77">
            <w:pPr>
              <w:pStyle w:val="Tabletext"/>
              <w:jc w:val="center"/>
            </w:pPr>
            <w:r>
              <w:t>9.7</w:t>
            </w:r>
          </w:p>
        </w:tc>
      </w:tr>
      <w:tr w:rsidR="00484A77" w:rsidRPr="00687A66" w14:paraId="7E77704B"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6C5A2843"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59C78D5F" w14:textId="77777777" w:rsidR="00484A77" w:rsidRDefault="00484A77" w:rsidP="00484A77">
            <w:pPr>
              <w:pStyle w:val="Tabletext"/>
            </w:pPr>
            <w:r>
              <w:t>Employee Commute</w:t>
            </w:r>
          </w:p>
        </w:tc>
        <w:tc>
          <w:tcPr>
            <w:tcW w:w="1267" w:type="pct"/>
            <w:tcBorders>
              <w:top w:val="single" w:sz="4" w:space="0" w:color="auto"/>
              <w:left w:val="single" w:sz="4" w:space="0" w:color="auto"/>
              <w:bottom w:val="single" w:sz="4" w:space="0" w:color="auto"/>
              <w:right w:val="single" w:sz="4" w:space="0" w:color="auto"/>
            </w:tcBorders>
            <w:vAlign w:val="center"/>
          </w:tcPr>
          <w:p w14:paraId="5787593D" w14:textId="77777777" w:rsidR="00484A77" w:rsidRDefault="00484A77" w:rsidP="00484A77">
            <w:pPr>
              <w:pStyle w:val="Tabletext"/>
              <w:jc w:val="center"/>
            </w:pPr>
            <w:r>
              <w:t>3.6</w:t>
            </w:r>
          </w:p>
        </w:tc>
      </w:tr>
      <w:tr w:rsidR="00484A77" w:rsidRPr="00687A66" w14:paraId="50136CDD"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471BE61B"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14577333" w14:textId="77777777" w:rsidR="00484A77" w:rsidRDefault="00484A77" w:rsidP="00484A77">
            <w:pPr>
              <w:pStyle w:val="Tabletext"/>
            </w:pPr>
            <w:r>
              <w:t>Business Flights</w:t>
            </w:r>
          </w:p>
        </w:tc>
        <w:tc>
          <w:tcPr>
            <w:tcW w:w="1267" w:type="pct"/>
            <w:tcBorders>
              <w:top w:val="single" w:sz="4" w:space="0" w:color="auto"/>
              <w:left w:val="single" w:sz="4" w:space="0" w:color="auto"/>
              <w:bottom w:val="single" w:sz="4" w:space="0" w:color="auto"/>
              <w:right w:val="single" w:sz="4" w:space="0" w:color="auto"/>
            </w:tcBorders>
            <w:vAlign w:val="center"/>
          </w:tcPr>
          <w:p w14:paraId="79EB39C0" w14:textId="7FE0ABAE" w:rsidR="00484A77" w:rsidRDefault="009218C3" w:rsidP="00484A77">
            <w:pPr>
              <w:pStyle w:val="Tabletext"/>
              <w:jc w:val="center"/>
            </w:pPr>
            <w:r>
              <w:t>7.4</w:t>
            </w:r>
          </w:p>
        </w:tc>
      </w:tr>
      <w:tr w:rsidR="00484A77" w:rsidRPr="00687A66" w14:paraId="346202BC"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14444CB4"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1B3F56E1" w14:textId="77777777" w:rsidR="00484A77" w:rsidRDefault="00484A77" w:rsidP="00484A77">
            <w:pPr>
              <w:pStyle w:val="Tabletext"/>
            </w:pPr>
            <w:r>
              <w:t>Waste-landfill</w:t>
            </w:r>
          </w:p>
        </w:tc>
        <w:tc>
          <w:tcPr>
            <w:tcW w:w="1267" w:type="pct"/>
            <w:tcBorders>
              <w:top w:val="single" w:sz="4" w:space="0" w:color="auto"/>
              <w:left w:val="single" w:sz="4" w:space="0" w:color="auto"/>
              <w:bottom w:val="single" w:sz="4" w:space="0" w:color="auto"/>
              <w:right w:val="single" w:sz="4" w:space="0" w:color="auto"/>
            </w:tcBorders>
            <w:vAlign w:val="center"/>
          </w:tcPr>
          <w:p w14:paraId="67F4C622" w14:textId="6DEACD46" w:rsidR="00484A77" w:rsidRDefault="009218C3" w:rsidP="00484A77">
            <w:pPr>
              <w:pStyle w:val="Tabletext"/>
              <w:jc w:val="center"/>
            </w:pPr>
            <w:r>
              <w:t>5.9</w:t>
            </w:r>
          </w:p>
        </w:tc>
      </w:tr>
      <w:tr w:rsidR="00484A77" w:rsidRPr="00687A66" w14:paraId="6BB3E2CE" w14:textId="77777777" w:rsidTr="00171961">
        <w:trPr>
          <w:cantSplit/>
        </w:trPr>
        <w:tc>
          <w:tcPr>
            <w:tcW w:w="491" w:type="pct"/>
            <w:tcBorders>
              <w:top w:val="single" w:sz="4" w:space="0" w:color="auto"/>
              <w:left w:val="single" w:sz="4" w:space="0" w:color="auto"/>
              <w:bottom w:val="single" w:sz="4" w:space="0" w:color="auto"/>
              <w:right w:val="single" w:sz="4" w:space="0" w:color="auto"/>
            </w:tcBorders>
            <w:vAlign w:val="center"/>
          </w:tcPr>
          <w:p w14:paraId="2F0FADDB" w14:textId="77777777" w:rsidR="00484A77" w:rsidRDefault="00484A77" w:rsidP="00484A77">
            <w:pPr>
              <w:pStyle w:val="Tabletext"/>
            </w:pPr>
            <w:r>
              <w:t>3</w:t>
            </w:r>
          </w:p>
        </w:tc>
        <w:tc>
          <w:tcPr>
            <w:tcW w:w="3242" w:type="pct"/>
            <w:tcBorders>
              <w:top w:val="single" w:sz="4" w:space="0" w:color="auto"/>
              <w:left w:val="single" w:sz="4" w:space="0" w:color="auto"/>
              <w:bottom w:val="single" w:sz="4" w:space="0" w:color="auto"/>
              <w:right w:val="single" w:sz="4" w:space="0" w:color="auto"/>
            </w:tcBorders>
            <w:vAlign w:val="center"/>
          </w:tcPr>
          <w:p w14:paraId="078D6FF2" w14:textId="77777777" w:rsidR="00484A77" w:rsidRDefault="00484A77" w:rsidP="00484A77">
            <w:pPr>
              <w:pStyle w:val="Tabletext"/>
            </w:pPr>
            <w:r>
              <w:t>Recycling</w:t>
            </w:r>
          </w:p>
        </w:tc>
        <w:tc>
          <w:tcPr>
            <w:tcW w:w="1267" w:type="pct"/>
            <w:tcBorders>
              <w:top w:val="single" w:sz="4" w:space="0" w:color="auto"/>
              <w:left w:val="single" w:sz="4" w:space="0" w:color="auto"/>
              <w:bottom w:val="single" w:sz="4" w:space="0" w:color="auto"/>
              <w:right w:val="single" w:sz="4" w:space="0" w:color="auto"/>
            </w:tcBorders>
            <w:vAlign w:val="center"/>
          </w:tcPr>
          <w:p w14:paraId="580C5208" w14:textId="41FABE10" w:rsidR="00484A77" w:rsidRDefault="009218C3" w:rsidP="00484A77">
            <w:pPr>
              <w:pStyle w:val="Tabletext"/>
              <w:jc w:val="center"/>
            </w:pPr>
            <w:r>
              <w:t>1.9</w:t>
            </w:r>
          </w:p>
        </w:tc>
      </w:tr>
      <w:tr w:rsidR="005A2191" w:rsidRPr="00687A66" w14:paraId="225E35E1"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6F10FA3C"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795CC44F" w14:textId="38067676" w:rsidR="005A2191" w:rsidRPr="009218C3" w:rsidRDefault="005A2191" w:rsidP="005A2191">
            <w:pPr>
              <w:pStyle w:val="Tabletext"/>
              <w:rPr>
                <w:color w:val="auto"/>
              </w:rPr>
            </w:pPr>
            <w:r w:rsidRPr="009218C3">
              <w:rPr>
                <w:color w:val="auto"/>
              </w:rPr>
              <w:t>Wooden pallets &amp; wine barrels</w:t>
            </w:r>
          </w:p>
        </w:tc>
        <w:tc>
          <w:tcPr>
            <w:tcW w:w="1267" w:type="pct"/>
            <w:tcBorders>
              <w:top w:val="single" w:sz="4" w:space="0" w:color="auto"/>
              <w:left w:val="single" w:sz="4" w:space="0" w:color="auto"/>
              <w:bottom w:val="single" w:sz="4" w:space="0" w:color="auto"/>
              <w:right w:val="single" w:sz="4" w:space="0" w:color="auto"/>
            </w:tcBorders>
          </w:tcPr>
          <w:p w14:paraId="76E3F5EB" w14:textId="2351E5A1" w:rsidR="005A2191" w:rsidRPr="009218C3" w:rsidRDefault="005A2191" w:rsidP="005A2191">
            <w:pPr>
              <w:pStyle w:val="Tabletext"/>
              <w:jc w:val="center"/>
              <w:rPr>
                <w:color w:val="auto"/>
              </w:rPr>
            </w:pPr>
            <w:r w:rsidRPr="009218C3">
              <w:rPr>
                <w:rFonts w:cs="Calibri"/>
                <w:color w:val="auto"/>
              </w:rPr>
              <w:t>51.6</w:t>
            </w:r>
          </w:p>
        </w:tc>
      </w:tr>
      <w:tr w:rsidR="005A2347" w:rsidRPr="00687A66" w14:paraId="42AFC425"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48916CB6" w14:textId="27B935D5" w:rsidR="005A2347" w:rsidRDefault="005A2347"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0E045CB5" w14:textId="224FAA67" w:rsidR="005A2347" w:rsidRPr="009218C3" w:rsidRDefault="005A2347" w:rsidP="005A2191">
            <w:pPr>
              <w:pStyle w:val="Tabletext"/>
              <w:rPr>
                <w:color w:val="auto"/>
              </w:rPr>
            </w:pPr>
            <w:r>
              <w:rPr>
                <w:color w:val="auto"/>
              </w:rPr>
              <w:t>Wine bottles</w:t>
            </w:r>
          </w:p>
        </w:tc>
        <w:tc>
          <w:tcPr>
            <w:tcW w:w="1267" w:type="pct"/>
            <w:tcBorders>
              <w:top w:val="single" w:sz="4" w:space="0" w:color="auto"/>
              <w:left w:val="single" w:sz="4" w:space="0" w:color="auto"/>
              <w:bottom w:val="single" w:sz="4" w:space="0" w:color="auto"/>
              <w:right w:val="single" w:sz="4" w:space="0" w:color="auto"/>
            </w:tcBorders>
          </w:tcPr>
          <w:p w14:paraId="58655662" w14:textId="26F0A139" w:rsidR="005A2347" w:rsidRPr="009218C3" w:rsidRDefault="005A2347" w:rsidP="005A2191">
            <w:pPr>
              <w:pStyle w:val="Tabletext"/>
              <w:jc w:val="center"/>
              <w:rPr>
                <w:rFonts w:cs="Calibri"/>
                <w:color w:val="auto"/>
              </w:rPr>
            </w:pPr>
            <w:r>
              <w:rPr>
                <w:rFonts w:cs="Calibri"/>
                <w:color w:val="auto"/>
              </w:rPr>
              <w:t>51.6</w:t>
            </w:r>
          </w:p>
        </w:tc>
      </w:tr>
      <w:tr w:rsidR="005A2191" w:rsidRPr="00687A66" w14:paraId="5091AAB4"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1345B5CF"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745C7B19" w14:textId="4824907F" w:rsidR="005A2191" w:rsidRPr="009218C3" w:rsidRDefault="005A2191" w:rsidP="005A2191">
            <w:pPr>
              <w:pStyle w:val="Tabletext"/>
              <w:rPr>
                <w:color w:val="auto"/>
              </w:rPr>
            </w:pPr>
            <w:r w:rsidRPr="009218C3">
              <w:rPr>
                <w:color w:val="auto"/>
              </w:rPr>
              <w:t>Wine cardboard packaging</w:t>
            </w:r>
          </w:p>
        </w:tc>
        <w:tc>
          <w:tcPr>
            <w:tcW w:w="1267" w:type="pct"/>
            <w:tcBorders>
              <w:top w:val="single" w:sz="4" w:space="0" w:color="auto"/>
              <w:left w:val="single" w:sz="4" w:space="0" w:color="auto"/>
              <w:bottom w:val="single" w:sz="4" w:space="0" w:color="auto"/>
              <w:right w:val="single" w:sz="4" w:space="0" w:color="auto"/>
            </w:tcBorders>
          </w:tcPr>
          <w:p w14:paraId="1AEB5111" w14:textId="7DF14A7D" w:rsidR="005A2191" w:rsidRPr="009218C3" w:rsidRDefault="005A2191" w:rsidP="005A2191">
            <w:pPr>
              <w:pStyle w:val="Tabletext"/>
              <w:jc w:val="center"/>
              <w:rPr>
                <w:color w:val="auto"/>
              </w:rPr>
            </w:pPr>
            <w:r w:rsidRPr="009218C3">
              <w:rPr>
                <w:rFonts w:cs="Calibri"/>
                <w:color w:val="auto"/>
              </w:rPr>
              <w:t>77.5</w:t>
            </w:r>
          </w:p>
        </w:tc>
      </w:tr>
      <w:tr w:rsidR="005A2191" w:rsidRPr="00687A66" w14:paraId="67C67450"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7F4E97B3"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051EA5D7" w14:textId="452F0A1D" w:rsidR="005A2191" w:rsidRPr="009218C3" w:rsidRDefault="005A2191" w:rsidP="005A2191">
            <w:pPr>
              <w:pStyle w:val="Tabletext"/>
              <w:rPr>
                <w:color w:val="auto"/>
              </w:rPr>
            </w:pPr>
            <w:r w:rsidRPr="009218C3">
              <w:rPr>
                <w:color w:val="auto"/>
              </w:rPr>
              <w:t>Wine bottle caps</w:t>
            </w:r>
          </w:p>
        </w:tc>
        <w:tc>
          <w:tcPr>
            <w:tcW w:w="1267" w:type="pct"/>
            <w:tcBorders>
              <w:top w:val="single" w:sz="4" w:space="0" w:color="auto"/>
              <w:left w:val="single" w:sz="4" w:space="0" w:color="auto"/>
              <w:bottom w:val="single" w:sz="4" w:space="0" w:color="auto"/>
              <w:right w:val="single" w:sz="4" w:space="0" w:color="auto"/>
            </w:tcBorders>
          </w:tcPr>
          <w:p w14:paraId="03CCEDAB" w14:textId="69512CE2" w:rsidR="005A2191" w:rsidRPr="009218C3" w:rsidRDefault="005A2191" w:rsidP="005A2191">
            <w:pPr>
              <w:pStyle w:val="Tabletext"/>
              <w:jc w:val="center"/>
              <w:rPr>
                <w:color w:val="auto"/>
              </w:rPr>
            </w:pPr>
            <w:r w:rsidRPr="009218C3">
              <w:rPr>
                <w:rFonts w:cs="Calibri"/>
                <w:color w:val="auto"/>
              </w:rPr>
              <w:t>46.2</w:t>
            </w:r>
          </w:p>
        </w:tc>
      </w:tr>
      <w:tr w:rsidR="005A2191" w:rsidRPr="00687A66" w14:paraId="115B2D9E"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43690DEF"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304860BE" w14:textId="7D6B1753" w:rsidR="005A2191" w:rsidRPr="009218C3" w:rsidRDefault="005A2191" w:rsidP="005A2191">
            <w:pPr>
              <w:pStyle w:val="Tabletext"/>
              <w:rPr>
                <w:color w:val="auto"/>
              </w:rPr>
            </w:pPr>
            <w:r w:rsidRPr="009218C3">
              <w:rPr>
                <w:color w:val="auto"/>
              </w:rPr>
              <w:t xml:space="preserve">Road freight </w:t>
            </w:r>
          </w:p>
        </w:tc>
        <w:tc>
          <w:tcPr>
            <w:tcW w:w="1267" w:type="pct"/>
            <w:tcBorders>
              <w:top w:val="single" w:sz="4" w:space="0" w:color="auto"/>
              <w:left w:val="single" w:sz="4" w:space="0" w:color="auto"/>
              <w:bottom w:val="single" w:sz="4" w:space="0" w:color="auto"/>
              <w:right w:val="single" w:sz="4" w:space="0" w:color="auto"/>
            </w:tcBorders>
          </w:tcPr>
          <w:p w14:paraId="63B42779" w14:textId="6087684F" w:rsidR="005A2191" w:rsidRPr="009218C3" w:rsidRDefault="005A2191" w:rsidP="005A2191">
            <w:pPr>
              <w:pStyle w:val="Tabletext"/>
              <w:jc w:val="center"/>
              <w:rPr>
                <w:color w:val="auto"/>
              </w:rPr>
            </w:pPr>
            <w:r w:rsidRPr="009218C3">
              <w:rPr>
                <w:rFonts w:cs="Calibri"/>
                <w:color w:val="auto"/>
              </w:rPr>
              <w:t>44.0</w:t>
            </w:r>
          </w:p>
        </w:tc>
      </w:tr>
      <w:tr w:rsidR="005A2191" w:rsidRPr="00687A66" w14:paraId="33079DD3"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71F1C603"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63464318" w14:textId="6978D14A" w:rsidR="005A2191" w:rsidRPr="009218C3" w:rsidRDefault="005A2191" w:rsidP="005A2191">
            <w:pPr>
              <w:pStyle w:val="Tabletext"/>
              <w:rPr>
                <w:color w:val="auto"/>
              </w:rPr>
            </w:pPr>
            <w:r w:rsidRPr="009218C3">
              <w:rPr>
                <w:color w:val="auto"/>
              </w:rPr>
              <w:t>Grapes for wine</w:t>
            </w:r>
          </w:p>
        </w:tc>
        <w:tc>
          <w:tcPr>
            <w:tcW w:w="1267" w:type="pct"/>
            <w:tcBorders>
              <w:top w:val="single" w:sz="4" w:space="0" w:color="auto"/>
              <w:left w:val="single" w:sz="4" w:space="0" w:color="auto"/>
              <w:bottom w:val="single" w:sz="4" w:space="0" w:color="auto"/>
              <w:right w:val="single" w:sz="4" w:space="0" w:color="auto"/>
            </w:tcBorders>
          </w:tcPr>
          <w:p w14:paraId="1988E00A" w14:textId="7C3A3F49" w:rsidR="005A2191" w:rsidRPr="009218C3" w:rsidRDefault="005A2191" w:rsidP="005A2191">
            <w:pPr>
              <w:pStyle w:val="Tabletext"/>
              <w:jc w:val="center"/>
              <w:rPr>
                <w:color w:val="auto"/>
              </w:rPr>
            </w:pPr>
            <w:r w:rsidRPr="009218C3">
              <w:rPr>
                <w:rFonts w:cs="Calibri"/>
                <w:color w:val="auto"/>
              </w:rPr>
              <w:t>54.2</w:t>
            </w:r>
          </w:p>
        </w:tc>
      </w:tr>
      <w:tr w:rsidR="005A2191" w:rsidRPr="00687A66" w14:paraId="1B0BFA53"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463E785A"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659BE039" w14:textId="75724809" w:rsidR="005A2191" w:rsidRPr="009218C3" w:rsidRDefault="005A2191" w:rsidP="005A2191">
            <w:pPr>
              <w:pStyle w:val="Tabletext"/>
              <w:rPr>
                <w:color w:val="auto"/>
              </w:rPr>
            </w:pPr>
            <w:r w:rsidRPr="009218C3">
              <w:rPr>
                <w:color w:val="auto"/>
              </w:rPr>
              <w:t>Printing and stationery (includes wine labels)</w:t>
            </w:r>
          </w:p>
        </w:tc>
        <w:tc>
          <w:tcPr>
            <w:tcW w:w="1267" w:type="pct"/>
            <w:tcBorders>
              <w:top w:val="single" w:sz="4" w:space="0" w:color="auto"/>
              <w:left w:val="single" w:sz="4" w:space="0" w:color="auto"/>
              <w:bottom w:val="single" w:sz="4" w:space="0" w:color="auto"/>
              <w:right w:val="single" w:sz="4" w:space="0" w:color="auto"/>
            </w:tcBorders>
          </w:tcPr>
          <w:p w14:paraId="27F5C825" w14:textId="0BFB4F0F" w:rsidR="005A2191" w:rsidRPr="009218C3" w:rsidRDefault="005A2191" w:rsidP="005A2191">
            <w:pPr>
              <w:pStyle w:val="Tabletext"/>
              <w:jc w:val="center"/>
              <w:rPr>
                <w:color w:val="auto"/>
              </w:rPr>
            </w:pPr>
            <w:r w:rsidRPr="009218C3">
              <w:rPr>
                <w:rFonts w:cs="Calibri"/>
                <w:color w:val="auto"/>
              </w:rPr>
              <w:t>32.0</w:t>
            </w:r>
          </w:p>
        </w:tc>
      </w:tr>
      <w:tr w:rsidR="005A2191" w:rsidRPr="00687A66" w14:paraId="0E8E4620"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358F158C"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4D3A7C11" w14:textId="5BF84CF3" w:rsidR="005A2191" w:rsidRPr="009218C3" w:rsidRDefault="005A2191" w:rsidP="005A2191">
            <w:pPr>
              <w:pStyle w:val="Tabletext"/>
              <w:rPr>
                <w:color w:val="auto"/>
              </w:rPr>
            </w:pPr>
            <w:r w:rsidRPr="009218C3">
              <w:rPr>
                <w:color w:val="auto"/>
              </w:rPr>
              <w:t>Chemicals &amp; fertilisers</w:t>
            </w:r>
          </w:p>
        </w:tc>
        <w:tc>
          <w:tcPr>
            <w:tcW w:w="1267" w:type="pct"/>
            <w:tcBorders>
              <w:top w:val="single" w:sz="4" w:space="0" w:color="auto"/>
              <w:left w:val="single" w:sz="4" w:space="0" w:color="auto"/>
              <w:bottom w:val="single" w:sz="4" w:space="0" w:color="auto"/>
              <w:right w:val="single" w:sz="4" w:space="0" w:color="auto"/>
            </w:tcBorders>
          </w:tcPr>
          <w:p w14:paraId="57B67AB5" w14:textId="097EEEA9" w:rsidR="005A2191" w:rsidRPr="009218C3" w:rsidRDefault="005A2191" w:rsidP="005A2191">
            <w:pPr>
              <w:pStyle w:val="Tabletext"/>
              <w:jc w:val="center"/>
              <w:rPr>
                <w:color w:val="auto"/>
              </w:rPr>
            </w:pPr>
            <w:r w:rsidRPr="009218C3">
              <w:rPr>
                <w:rFonts w:cs="Calibri"/>
                <w:color w:val="auto"/>
              </w:rPr>
              <w:t>32.0</w:t>
            </w:r>
          </w:p>
        </w:tc>
      </w:tr>
      <w:tr w:rsidR="005A2191" w:rsidRPr="00687A66" w14:paraId="5E0CDADB"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03250156"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3DB0ED33" w14:textId="0912AE90" w:rsidR="005A2191" w:rsidRPr="009218C3" w:rsidRDefault="005A2191" w:rsidP="005A2191">
            <w:pPr>
              <w:pStyle w:val="Tabletext"/>
              <w:rPr>
                <w:color w:val="auto"/>
              </w:rPr>
            </w:pPr>
            <w:r w:rsidRPr="009218C3">
              <w:rPr>
                <w:color w:val="auto"/>
              </w:rPr>
              <w:t>Catering</w:t>
            </w:r>
          </w:p>
        </w:tc>
        <w:tc>
          <w:tcPr>
            <w:tcW w:w="1267" w:type="pct"/>
            <w:tcBorders>
              <w:top w:val="single" w:sz="4" w:space="0" w:color="auto"/>
              <w:left w:val="single" w:sz="4" w:space="0" w:color="auto"/>
              <w:bottom w:val="single" w:sz="4" w:space="0" w:color="auto"/>
              <w:right w:val="single" w:sz="4" w:space="0" w:color="auto"/>
            </w:tcBorders>
          </w:tcPr>
          <w:p w14:paraId="478896C5" w14:textId="5C5D84DC" w:rsidR="005A2191" w:rsidRPr="009218C3" w:rsidRDefault="005A2191" w:rsidP="005A2191">
            <w:pPr>
              <w:pStyle w:val="Tabletext"/>
              <w:jc w:val="center"/>
              <w:rPr>
                <w:color w:val="auto"/>
              </w:rPr>
            </w:pPr>
            <w:r w:rsidRPr="009218C3">
              <w:rPr>
                <w:rFonts w:cs="Calibri"/>
                <w:color w:val="auto"/>
              </w:rPr>
              <w:t>18.0</w:t>
            </w:r>
          </w:p>
        </w:tc>
      </w:tr>
      <w:tr w:rsidR="005A2191" w:rsidRPr="00687A66" w14:paraId="558D4E0F"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2E34F4DA"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40A21B3F" w14:textId="47C57183" w:rsidR="005A2191" w:rsidRPr="009218C3" w:rsidRDefault="005A2191" w:rsidP="005A2191">
            <w:pPr>
              <w:pStyle w:val="Tabletext"/>
              <w:rPr>
                <w:color w:val="auto"/>
              </w:rPr>
            </w:pPr>
            <w:r w:rsidRPr="009218C3">
              <w:rPr>
                <w:color w:val="auto"/>
              </w:rPr>
              <w:t>Wine Functions</w:t>
            </w:r>
          </w:p>
        </w:tc>
        <w:tc>
          <w:tcPr>
            <w:tcW w:w="1267" w:type="pct"/>
            <w:tcBorders>
              <w:top w:val="single" w:sz="4" w:space="0" w:color="auto"/>
              <w:left w:val="single" w:sz="4" w:space="0" w:color="auto"/>
              <w:bottom w:val="single" w:sz="4" w:space="0" w:color="auto"/>
              <w:right w:val="single" w:sz="4" w:space="0" w:color="auto"/>
            </w:tcBorders>
          </w:tcPr>
          <w:p w14:paraId="25FC27BD" w14:textId="550BAC1F" w:rsidR="005A2191" w:rsidRPr="009218C3" w:rsidRDefault="005A2191" w:rsidP="005A2191">
            <w:pPr>
              <w:pStyle w:val="Tabletext"/>
              <w:jc w:val="center"/>
              <w:rPr>
                <w:color w:val="auto"/>
              </w:rPr>
            </w:pPr>
            <w:r w:rsidRPr="009218C3">
              <w:rPr>
                <w:rFonts w:cs="Calibri"/>
                <w:color w:val="auto"/>
              </w:rPr>
              <w:t>1.45</w:t>
            </w:r>
          </w:p>
        </w:tc>
      </w:tr>
      <w:tr w:rsidR="005A2191" w:rsidRPr="00687A66" w14:paraId="43C33DB4"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28F86B78"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5D3FA226" w14:textId="3870352C" w:rsidR="005A2191" w:rsidRPr="009218C3" w:rsidRDefault="005A2191" w:rsidP="005A2191">
            <w:pPr>
              <w:pStyle w:val="Tabletext"/>
              <w:rPr>
                <w:color w:val="auto"/>
              </w:rPr>
            </w:pPr>
            <w:r w:rsidRPr="009218C3">
              <w:rPr>
                <w:color w:val="auto"/>
              </w:rPr>
              <w:t>Meetings</w:t>
            </w:r>
          </w:p>
        </w:tc>
        <w:tc>
          <w:tcPr>
            <w:tcW w:w="1267" w:type="pct"/>
            <w:tcBorders>
              <w:top w:val="single" w:sz="4" w:space="0" w:color="auto"/>
              <w:left w:val="single" w:sz="4" w:space="0" w:color="auto"/>
              <w:bottom w:val="single" w:sz="4" w:space="0" w:color="auto"/>
              <w:right w:val="single" w:sz="4" w:space="0" w:color="auto"/>
            </w:tcBorders>
          </w:tcPr>
          <w:p w14:paraId="6D3C778D" w14:textId="4299B88A" w:rsidR="005A2191" w:rsidRPr="009218C3" w:rsidRDefault="005A2191" w:rsidP="005A2191">
            <w:pPr>
              <w:pStyle w:val="Tabletext"/>
              <w:jc w:val="center"/>
              <w:rPr>
                <w:color w:val="auto"/>
              </w:rPr>
            </w:pPr>
            <w:r w:rsidRPr="009218C3">
              <w:rPr>
                <w:rFonts w:cs="Calibri"/>
                <w:color w:val="auto"/>
              </w:rPr>
              <w:t>0.29</w:t>
            </w:r>
          </w:p>
        </w:tc>
      </w:tr>
      <w:tr w:rsidR="005A2191" w:rsidRPr="00687A66" w14:paraId="6ED60199"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3423085E"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3F04E028" w14:textId="06655884" w:rsidR="005A2191" w:rsidRPr="009218C3" w:rsidRDefault="005A2191" w:rsidP="005A2191">
            <w:pPr>
              <w:pStyle w:val="Tabletext"/>
              <w:rPr>
                <w:color w:val="auto"/>
              </w:rPr>
            </w:pPr>
            <w:r w:rsidRPr="009218C3">
              <w:rPr>
                <w:color w:val="auto"/>
              </w:rPr>
              <w:t>Trade advertising</w:t>
            </w:r>
          </w:p>
        </w:tc>
        <w:tc>
          <w:tcPr>
            <w:tcW w:w="1267" w:type="pct"/>
            <w:tcBorders>
              <w:top w:val="single" w:sz="4" w:space="0" w:color="auto"/>
              <w:left w:val="single" w:sz="4" w:space="0" w:color="auto"/>
              <w:bottom w:val="single" w:sz="4" w:space="0" w:color="auto"/>
              <w:right w:val="single" w:sz="4" w:space="0" w:color="auto"/>
            </w:tcBorders>
          </w:tcPr>
          <w:p w14:paraId="3918287C" w14:textId="7E475865" w:rsidR="005A2191" w:rsidRPr="009218C3" w:rsidRDefault="005A2191" w:rsidP="005A2191">
            <w:pPr>
              <w:pStyle w:val="Tabletext"/>
              <w:jc w:val="center"/>
              <w:rPr>
                <w:color w:val="auto"/>
              </w:rPr>
            </w:pPr>
            <w:r w:rsidRPr="009218C3">
              <w:rPr>
                <w:rFonts w:cs="Calibri"/>
                <w:color w:val="auto"/>
              </w:rPr>
              <w:t>16.5</w:t>
            </w:r>
          </w:p>
        </w:tc>
      </w:tr>
      <w:tr w:rsidR="005A2191" w:rsidRPr="00687A66" w14:paraId="6B56EAAD"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230841A5"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0ECB228C" w14:textId="4A7EF48F" w:rsidR="005A2191" w:rsidRPr="009218C3" w:rsidRDefault="005A2191" w:rsidP="005A2191">
            <w:pPr>
              <w:pStyle w:val="Tabletext"/>
              <w:rPr>
                <w:color w:val="auto"/>
              </w:rPr>
            </w:pPr>
            <w:r w:rsidRPr="009218C3">
              <w:rPr>
                <w:color w:val="auto"/>
              </w:rPr>
              <w:t>Storage &amp; warehousing</w:t>
            </w:r>
          </w:p>
        </w:tc>
        <w:tc>
          <w:tcPr>
            <w:tcW w:w="1267" w:type="pct"/>
            <w:tcBorders>
              <w:top w:val="single" w:sz="4" w:space="0" w:color="auto"/>
              <w:left w:val="single" w:sz="4" w:space="0" w:color="auto"/>
              <w:bottom w:val="single" w:sz="4" w:space="0" w:color="auto"/>
              <w:right w:val="single" w:sz="4" w:space="0" w:color="auto"/>
            </w:tcBorders>
          </w:tcPr>
          <w:p w14:paraId="21F912E7" w14:textId="1B66F541" w:rsidR="005A2191" w:rsidRPr="009218C3" w:rsidRDefault="005A2191" w:rsidP="005A2191">
            <w:pPr>
              <w:pStyle w:val="Tabletext"/>
              <w:jc w:val="center"/>
              <w:rPr>
                <w:color w:val="auto"/>
              </w:rPr>
            </w:pPr>
            <w:r w:rsidRPr="009218C3">
              <w:rPr>
                <w:rFonts w:cs="Calibri"/>
                <w:color w:val="auto"/>
              </w:rPr>
              <w:t>1.6</w:t>
            </w:r>
          </w:p>
        </w:tc>
      </w:tr>
      <w:tr w:rsidR="005A2191" w:rsidRPr="00687A66" w14:paraId="705B8DAC"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0075E8FC"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4677C205" w14:textId="52FFDEC6" w:rsidR="005A2191" w:rsidRPr="009218C3" w:rsidRDefault="005A2191" w:rsidP="005A2191">
            <w:pPr>
              <w:pStyle w:val="Tabletext"/>
              <w:rPr>
                <w:color w:val="auto"/>
              </w:rPr>
            </w:pPr>
            <w:r w:rsidRPr="009218C3">
              <w:rPr>
                <w:color w:val="auto"/>
              </w:rPr>
              <w:t>Accounting services</w:t>
            </w:r>
          </w:p>
        </w:tc>
        <w:tc>
          <w:tcPr>
            <w:tcW w:w="1267" w:type="pct"/>
            <w:tcBorders>
              <w:top w:val="single" w:sz="4" w:space="0" w:color="auto"/>
              <w:left w:val="single" w:sz="4" w:space="0" w:color="auto"/>
              <w:bottom w:val="single" w:sz="4" w:space="0" w:color="auto"/>
              <w:right w:val="single" w:sz="4" w:space="0" w:color="auto"/>
            </w:tcBorders>
          </w:tcPr>
          <w:p w14:paraId="7B5B15AD" w14:textId="1A7DB978" w:rsidR="005A2191" w:rsidRPr="009218C3" w:rsidRDefault="005A2191" w:rsidP="005A2191">
            <w:pPr>
              <w:pStyle w:val="Tabletext"/>
              <w:jc w:val="center"/>
              <w:rPr>
                <w:color w:val="auto"/>
              </w:rPr>
            </w:pPr>
            <w:r w:rsidRPr="009218C3">
              <w:rPr>
                <w:rFonts w:cs="Calibri"/>
                <w:color w:val="auto"/>
              </w:rPr>
              <w:t>1.42</w:t>
            </w:r>
          </w:p>
        </w:tc>
      </w:tr>
      <w:tr w:rsidR="005A2191" w:rsidRPr="00687A66" w14:paraId="051557C4"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0356FB32"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3AEF5C72" w14:textId="00E60B0C" w:rsidR="005A2191" w:rsidRPr="009218C3" w:rsidRDefault="005A2191" w:rsidP="005A2191">
            <w:pPr>
              <w:pStyle w:val="Tabletext"/>
              <w:rPr>
                <w:color w:val="auto"/>
              </w:rPr>
            </w:pPr>
            <w:r w:rsidRPr="009218C3">
              <w:rPr>
                <w:color w:val="auto"/>
              </w:rPr>
              <w:t>Insurance</w:t>
            </w:r>
          </w:p>
        </w:tc>
        <w:tc>
          <w:tcPr>
            <w:tcW w:w="1267" w:type="pct"/>
            <w:tcBorders>
              <w:top w:val="single" w:sz="4" w:space="0" w:color="auto"/>
              <w:left w:val="single" w:sz="4" w:space="0" w:color="auto"/>
              <w:bottom w:val="single" w:sz="4" w:space="0" w:color="auto"/>
              <w:right w:val="single" w:sz="4" w:space="0" w:color="auto"/>
            </w:tcBorders>
          </w:tcPr>
          <w:p w14:paraId="0BBA4C7F" w14:textId="27F33E4A" w:rsidR="005A2191" w:rsidRPr="009218C3" w:rsidRDefault="005A2191" w:rsidP="005A2191">
            <w:pPr>
              <w:pStyle w:val="Tabletext"/>
              <w:jc w:val="center"/>
              <w:rPr>
                <w:color w:val="auto"/>
              </w:rPr>
            </w:pPr>
            <w:r w:rsidRPr="009218C3">
              <w:rPr>
                <w:rFonts w:cs="Calibri"/>
                <w:color w:val="auto"/>
              </w:rPr>
              <w:t>2.1</w:t>
            </w:r>
          </w:p>
        </w:tc>
      </w:tr>
      <w:tr w:rsidR="005A2191" w:rsidRPr="00687A66" w14:paraId="6462AF9C"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1ED4B373"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60F513EC" w14:textId="56A9A22C" w:rsidR="005A2191" w:rsidRPr="009218C3" w:rsidRDefault="005A2191" w:rsidP="005A2191">
            <w:pPr>
              <w:pStyle w:val="Tabletext"/>
              <w:rPr>
                <w:color w:val="auto"/>
              </w:rPr>
            </w:pPr>
            <w:r w:rsidRPr="009218C3">
              <w:rPr>
                <w:color w:val="auto"/>
              </w:rPr>
              <w:t>Transport services</w:t>
            </w:r>
          </w:p>
        </w:tc>
        <w:tc>
          <w:tcPr>
            <w:tcW w:w="1267" w:type="pct"/>
            <w:tcBorders>
              <w:top w:val="single" w:sz="4" w:space="0" w:color="auto"/>
              <w:left w:val="single" w:sz="4" w:space="0" w:color="auto"/>
              <w:bottom w:val="single" w:sz="4" w:space="0" w:color="auto"/>
              <w:right w:val="single" w:sz="4" w:space="0" w:color="auto"/>
            </w:tcBorders>
          </w:tcPr>
          <w:p w14:paraId="350A3A13" w14:textId="3573066C" w:rsidR="005A2191" w:rsidRPr="009218C3" w:rsidRDefault="005A2191" w:rsidP="005A2191">
            <w:pPr>
              <w:pStyle w:val="Tabletext"/>
              <w:jc w:val="center"/>
              <w:rPr>
                <w:color w:val="auto"/>
              </w:rPr>
            </w:pPr>
            <w:r w:rsidRPr="009218C3">
              <w:rPr>
                <w:rFonts w:cs="Calibri"/>
                <w:color w:val="auto"/>
              </w:rPr>
              <w:t>3.63</w:t>
            </w:r>
          </w:p>
        </w:tc>
      </w:tr>
      <w:tr w:rsidR="005A2191" w:rsidRPr="00687A66" w14:paraId="4BB221C2"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38F7E32A"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18D2A6E4" w14:textId="7B5DAD51" w:rsidR="005A2191" w:rsidRPr="009218C3" w:rsidRDefault="005A2191" w:rsidP="005A2191">
            <w:pPr>
              <w:pStyle w:val="Tabletext"/>
              <w:rPr>
                <w:color w:val="auto"/>
              </w:rPr>
            </w:pPr>
            <w:r w:rsidRPr="009218C3">
              <w:rPr>
                <w:color w:val="auto"/>
              </w:rPr>
              <w:t>Motor vehicle repairing</w:t>
            </w:r>
          </w:p>
        </w:tc>
        <w:tc>
          <w:tcPr>
            <w:tcW w:w="1267" w:type="pct"/>
            <w:tcBorders>
              <w:top w:val="single" w:sz="4" w:space="0" w:color="auto"/>
              <w:left w:val="single" w:sz="4" w:space="0" w:color="auto"/>
              <w:bottom w:val="single" w:sz="4" w:space="0" w:color="auto"/>
              <w:right w:val="single" w:sz="4" w:space="0" w:color="auto"/>
            </w:tcBorders>
          </w:tcPr>
          <w:p w14:paraId="64592A21" w14:textId="20620911" w:rsidR="005A2191" w:rsidRPr="009218C3" w:rsidRDefault="005A2191" w:rsidP="005A2191">
            <w:pPr>
              <w:pStyle w:val="Tabletext"/>
              <w:jc w:val="center"/>
              <w:rPr>
                <w:color w:val="auto"/>
              </w:rPr>
            </w:pPr>
            <w:r w:rsidRPr="009218C3">
              <w:rPr>
                <w:rFonts w:cs="Calibri"/>
                <w:color w:val="auto"/>
              </w:rPr>
              <w:t>0.51</w:t>
            </w:r>
          </w:p>
        </w:tc>
      </w:tr>
      <w:tr w:rsidR="005A2191" w:rsidRPr="00687A66" w14:paraId="77E1ACED"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0BC5ED4A"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432CF33E" w14:textId="47487807" w:rsidR="005A2191" w:rsidRPr="009218C3" w:rsidRDefault="005A2191" w:rsidP="005A2191">
            <w:pPr>
              <w:pStyle w:val="Tabletext"/>
              <w:rPr>
                <w:color w:val="auto"/>
              </w:rPr>
            </w:pPr>
            <w:r w:rsidRPr="009218C3">
              <w:rPr>
                <w:color w:val="auto"/>
              </w:rPr>
              <w:t>Wine Shows &amp; Memberships</w:t>
            </w:r>
          </w:p>
        </w:tc>
        <w:tc>
          <w:tcPr>
            <w:tcW w:w="1267" w:type="pct"/>
            <w:tcBorders>
              <w:top w:val="single" w:sz="4" w:space="0" w:color="auto"/>
              <w:left w:val="single" w:sz="4" w:space="0" w:color="auto"/>
              <w:bottom w:val="single" w:sz="4" w:space="0" w:color="auto"/>
              <w:right w:val="single" w:sz="4" w:space="0" w:color="auto"/>
            </w:tcBorders>
          </w:tcPr>
          <w:p w14:paraId="2E7C76AE" w14:textId="3CC3B17F" w:rsidR="005A2191" w:rsidRPr="009218C3" w:rsidRDefault="005A2191" w:rsidP="005A2191">
            <w:pPr>
              <w:pStyle w:val="Tabletext"/>
              <w:jc w:val="center"/>
              <w:rPr>
                <w:color w:val="auto"/>
              </w:rPr>
            </w:pPr>
            <w:r w:rsidRPr="009218C3">
              <w:rPr>
                <w:rFonts w:cs="Calibri"/>
                <w:color w:val="auto"/>
              </w:rPr>
              <w:t>1.83</w:t>
            </w:r>
          </w:p>
        </w:tc>
      </w:tr>
      <w:tr w:rsidR="005A2191" w:rsidRPr="00687A66" w14:paraId="0FEB1CFA"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27B3F763"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3E264B09" w14:textId="7FDE665D" w:rsidR="005A2191" w:rsidRPr="009218C3" w:rsidRDefault="005A2191" w:rsidP="005A2191">
            <w:pPr>
              <w:pStyle w:val="Tabletext"/>
              <w:rPr>
                <w:color w:val="auto"/>
              </w:rPr>
            </w:pPr>
            <w:r w:rsidRPr="009218C3">
              <w:rPr>
                <w:color w:val="auto"/>
              </w:rPr>
              <w:t>Telephone &amp; internet</w:t>
            </w:r>
          </w:p>
        </w:tc>
        <w:tc>
          <w:tcPr>
            <w:tcW w:w="1267" w:type="pct"/>
            <w:tcBorders>
              <w:top w:val="single" w:sz="4" w:space="0" w:color="auto"/>
              <w:left w:val="single" w:sz="4" w:space="0" w:color="auto"/>
              <w:bottom w:val="single" w:sz="4" w:space="0" w:color="auto"/>
              <w:right w:val="single" w:sz="4" w:space="0" w:color="auto"/>
            </w:tcBorders>
          </w:tcPr>
          <w:p w14:paraId="5E196957" w14:textId="7026B6FD" w:rsidR="005A2191" w:rsidRPr="009218C3" w:rsidRDefault="005A2191" w:rsidP="005A2191">
            <w:pPr>
              <w:pStyle w:val="Tabletext"/>
              <w:jc w:val="center"/>
              <w:rPr>
                <w:color w:val="auto"/>
              </w:rPr>
            </w:pPr>
            <w:r w:rsidRPr="009218C3">
              <w:rPr>
                <w:rFonts w:cs="Calibri"/>
                <w:color w:val="auto"/>
              </w:rPr>
              <w:t>1.45</w:t>
            </w:r>
          </w:p>
        </w:tc>
      </w:tr>
      <w:tr w:rsidR="005A2191" w:rsidRPr="00687A66" w14:paraId="3F0294E0"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49C36BA6"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6905AE6C" w14:textId="25BD74EF" w:rsidR="005A2191" w:rsidRPr="009218C3" w:rsidRDefault="005A2191" w:rsidP="005A2191">
            <w:pPr>
              <w:pStyle w:val="Tabletext"/>
              <w:rPr>
                <w:color w:val="auto"/>
              </w:rPr>
            </w:pPr>
            <w:r w:rsidRPr="009218C3">
              <w:rPr>
                <w:color w:val="auto"/>
              </w:rPr>
              <w:t>Winery Repairs &amp; Maintenance</w:t>
            </w:r>
          </w:p>
        </w:tc>
        <w:tc>
          <w:tcPr>
            <w:tcW w:w="1267" w:type="pct"/>
            <w:tcBorders>
              <w:top w:val="single" w:sz="4" w:space="0" w:color="auto"/>
              <w:left w:val="single" w:sz="4" w:space="0" w:color="auto"/>
              <w:bottom w:val="single" w:sz="4" w:space="0" w:color="auto"/>
              <w:right w:val="single" w:sz="4" w:space="0" w:color="auto"/>
            </w:tcBorders>
          </w:tcPr>
          <w:p w14:paraId="1A014D63" w14:textId="76AAA251" w:rsidR="005A2191" w:rsidRPr="009218C3" w:rsidRDefault="005A2191" w:rsidP="005A2191">
            <w:pPr>
              <w:pStyle w:val="Tabletext"/>
              <w:jc w:val="center"/>
              <w:rPr>
                <w:color w:val="auto"/>
              </w:rPr>
            </w:pPr>
            <w:r w:rsidRPr="009218C3">
              <w:rPr>
                <w:rFonts w:cs="Calibri"/>
                <w:color w:val="auto"/>
              </w:rPr>
              <w:t>16.5</w:t>
            </w:r>
          </w:p>
        </w:tc>
      </w:tr>
      <w:tr w:rsidR="005A2191" w:rsidRPr="00687A66" w14:paraId="110B38BA"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61161AE8"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281325B4" w14:textId="4165C214" w:rsidR="005A2191" w:rsidRPr="009218C3" w:rsidRDefault="005A2191" w:rsidP="005A2191">
            <w:pPr>
              <w:pStyle w:val="Tabletext"/>
              <w:rPr>
                <w:color w:val="auto"/>
              </w:rPr>
            </w:pPr>
            <w:r w:rsidRPr="009218C3">
              <w:rPr>
                <w:color w:val="auto"/>
              </w:rPr>
              <w:t>Computer equipment</w:t>
            </w:r>
          </w:p>
        </w:tc>
        <w:tc>
          <w:tcPr>
            <w:tcW w:w="1267" w:type="pct"/>
            <w:tcBorders>
              <w:top w:val="single" w:sz="4" w:space="0" w:color="auto"/>
              <w:left w:val="single" w:sz="4" w:space="0" w:color="auto"/>
              <w:bottom w:val="single" w:sz="4" w:space="0" w:color="auto"/>
              <w:right w:val="single" w:sz="4" w:space="0" w:color="auto"/>
            </w:tcBorders>
          </w:tcPr>
          <w:p w14:paraId="019A21B1" w14:textId="2F1D9D11" w:rsidR="005A2191" w:rsidRPr="009218C3" w:rsidRDefault="005A2191" w:rsidP="005A2191">
            <w:pPr>
              <w:pStyle w:val="Tabletext"/>
              <w:jc w:val="center"/>
              <w:rPr>
                <w:color w:val="auto"/>
              </w:rPr>
            </w:pPr>
            <w:r w:rsidRPr="009218C3">
              <w:rPr>
                <w:rFonts w:cs="Calibri"/>
                <w:color w:val="auto"/>
              </w:rPr>
              <w:t>1.53</w:t>
            </w:r>
          </w:p>
        </w:tc>
      </w:tr>
      <w:tr w:rsidR="005A2191" w:rsidRPr="00687A66" w14:paraId="3D78C5DB"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768BFE9A"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73B346C7" w14:textId="7E7063C6" w:rsidR="005A2191" w:rsidRPr="009218C3" w:rsidRDefault="005A2191" w:rsidP="005A2191">
            <w:pPr>
              <w:pStyle w:val="Tabletext"/>
              <w:rPr>
                <w:color w:val="auto"/>
              </w:rPr>
            </w:pPr>
            <w:r w:rsidRPr="009218C3">
              <w:rPr>
                <w:color w:val="auto"/>
              </w:rPr>
              <w:t>Rates &amp; Taxes</w:t>
            </w:r>
          </w:p>
        </w:tc>
        <w:tc>
          <w:tcPr>
            <w:tcW w:w="1267" w:type="pct"/>
            <w:tcBorders>
              <w:top w:val="single" w:sz="4" w:space="0" w:color="auto"/>
              <w:left w:val="single" w:sz="4" w:space="0" w:color="auto"/>
              <w:bottom w:val="single" w:sz="4" w:space="0" w:color="auto"/>
              <w:right w:val="single" w:sz="4" w:space="0" w:color="auto"/>
            </w:tcBorders>
          </w:tcPr>
          <w:p w14:paraId="3FAF2705" w14:textId="336F069B" w:rsidR="005A2191" w:rsidRPr="009218C3" w:rsidRDefault="005A2191" w:rsidP="005A2191">
            <w:pPr>
              <w:pStyle w:val="Tabletext"/>
              <w:jc w:val="center"/>
              <w:rPr>
                <w:color w:val="auto"/>
              </w:rPr>
            </w:pPr>
            <w:r w:rsidRPr="009218C3">
              <w:rPr>
                <w:rFonts w:cs="Calibri"/>
                <w:color w:val="auto"/>
              </w:rPr>
              <w:t>0.42</w:t>
            </w:r>
          </w:p>
        </w:tc>
      </w:tr>
      <w:tr w:rsidR="005A2191" w:rsidRPr="00687A66" w14:paraId="7A19E9C1"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5D4B30A2"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28959B08" w14:textId="6B582221" w:rsidR="005A2191" w:rsidRPr="009218C3" w:rsidRDefault="005A2191" w:rsidP="005A2191">
            <w:pPr>
              <w:pStyle w:val="Tabletext"/>
              <w:rPr>
                <w:color w:val="auto"/>
              </w:rPr>
            </w:pPr>
            <w:r w:rsidRPr="009218C3">
              <w:rPr>
                <w:color w:val="auto"/>
              </w:rPr>
              <w:t>Banking</w:t>
            </w:r>
          </w:p>
        </w:tc>
        <w:tc>
          <w:tcPr>
            <w:tcW w:w="1267" w:type="pct"/>
            <w:tcBorders>
              <w:top w:val="single" w:sz="4" w:space="0" w:color="auto"/>
              <w:left w:val="single" w:sz="4" w:space="0" w:color="auto"/>
              <w:bottom w:val="single" w:sz="4" w:space="0" w:color="auto"/>
              <w:right w:val="single" w:sz="4" w:space="0" w:color="auto"/>
            </w:tcBorders>
          </w:tcPr>
          <w:p w14:paraId="0E695621" w14:textId="23837737" w:rsidR="005A2191" w:rsidRPr="009218C3" w:rsidRDefault="005A2191" w:rsidP="005A2191">
            <w:pPr>
              <w:pStyle w:val="Tabletext"/>
              <w:jc w:val="center"/>
              <w:rPr>
                <w:color w:val="auto"/>
              </w:rPr>
            </w:pPr>
            <w:r w:rsidRPr="009218C3">
              <w:rPr>
                <w:rFonts w:cs="Calibri"/>
                <w:color w:val="auto"/>
              </w:rPr>
              <w:t>0.34</w:t>
            </w:r>
          </w:p>
        </w:tc>
      </w:tr>
      <w:tr w:rsidR="005A2191" w:rsidRPr="00687A66" w14:paraId="15AF62A1"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4F29930A"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08FABF47" w14:textId="51FCE3AF" w:rsidR="005A2191" w:rsidRPr="009218C3" w:rsidRDefault="005A2191" w:rsidP="005A2191">
            <w:pPr>
              <w:pStyle w:val="Tabletext"/>
              <w:rPr>
                <w:color w:val="auto"/>
              </w:rPr>
            </w:pPr>
            <w:r w:rsidRPr="009218C3">
              <w:rPr>
                <w:color w:val="auto"/>
              </w:rPr>
              <w:t>Accounting services</w:t>
            </w:r>
          </w:p>
        </w:tc>
        <w:tc>
          <w:tcPr>
            <w:tcW w:w="1267" w:type="pct"/>
            <w:tcBorders>
              <w:top w:val="single" w:sz="4" w:space="0" w:color="auto"/>
              <w:left w:val="single" w:sz="4" w:space="0" w:color="auto"/>
              <w:bottom w:val="single" w:sz="4" w:space="0" w:color="auto"/>
              <w:right w:val="single" w:sz="4" w:space="0" w:color="auto"/>
            </w:tcBorders>
          </w:tcPr>
          <w:p w14:paraId="1688B5B3" w14:textId="49ACDDFE" w:rsidR="005A2191" w:rsidRPr="009218C3" w:rsidRDefault="005A2191" w:rsidP="005A2191">
            <w:pPr>
              <w:pStyle w:val="Tabletext"/>
              <w:jc w:val="center"/>
              <w:rPr>
                <w:color w:val="auto"/>
              </w:rPr>
            </w:pPr>
            <w:r w:rsidRPr="009218C3">
              <w:rPr>
                <w:rFonts w:cs="Calibri"/>
                <w:color w:val="auto"/>
              </w:rPr>
              <w:t>1.42</w:t>
            </w:r>
          </w:p>
        </w:tc>
      </w:tr>
      <w:tr w:rsidR="005A2191" w:rsidRPr="00687A66" w14:paraId="02432198" w14:textId="77777777" w:rsidTr="003F7AC6">
        <w:trPr>
          <w:cantSplit/>
        </w:trPr>
        <w:tc>
          <w:tcPr>
            <w:tcW w:w="491" w:type="pct"/>
            <w:tcBorders>
              <w:top w:val="single" w:sz="4" w:space="0" w:color="auto"/>
              <w:left w:val="single" w:sz="4" w:space="0" w:color="auto"/>
              <w:bottom w:val="single" w:sz="4" w:space="0" w:color="auto"/>
              <w:right w:val="single" w:sz="4" w:space="0" w:color="auto"/>
            </w:tcBorders>
            <w:vAlign w:val="center"/>
          </w:tcPr>
          <w:p w14:paraId="046782B9" w14:textId="77777777" w:rsidR="005A2191" w:rsidRDefault="005A2191" w:rsidP="005A2191">
            <w:pPr>
              <w:pStyle w:val="Tabletext"/>
            </w:pPr>
            <w:r>
              <w:t>3</w:t>
            </w:r>
          </w:p>
        </w:tc>
        <w:tc>
          <w:tcPr>
            <w:tcW w:w="3242" w:type="pct"/>
            <w:tcBorders>
              <w:top w:val="single" w:sz="4" w:space="0" w:color="auto"/>
              <w:left w:val="single" w:sz="4" w:space="0" w:color="auto"/>
              <w:bottom w:val="single" w:sz="4" w:space="0" w:color="auto"/>
              <w:right w:val="single" w:sz="4" w:space="0" w:color="auto"/>
            </w:tcBorders>
          </w:tcPr>
          <w:p w14:paraId="120EAA95" w14:textId="33C78762" w:rsidR="005A2191" w:rsidRPr="009218C3" w:rsidRDefault="005A2191" w:rsidP="005A2191">
            <w:pPr>
              <w:pStyle w:val="Tabletext"/>
              <w:rPr>
                <w:color w:val="auto"/>
              </w:rPr>
            </w:pPr>
            <w:r w:rsidRPr="009218C3">
              <w:rPr>
                <w:color w:val="auto"/>
              </w:rPr>
              <w:t>Postal services</w:t>
            </w:r>
          </w:p>
        </w:tc>
        <w:tc>
          <w:tcPr>
            <w:tcW w:w="1267" w:type="pct"/>
            <w:tcBorders>
              <w:top w:val="single" w:sz="4" w:space="0" w:color="auto"/>
              <w:left w:val="single" w:sz="4" w:space="0" w:color="auto"/>
              <w:bottom w:val="single" w:sz="4" w:space="0" w:color="auto"/>
              <w:right w:val="single" w:sz="4" w:space="0" w:color="auto"/>
            </w:tcBorders>
          </w:tcPr>
          <w:p w14:paraId="57B2D285" w14:textId="659C17CD" w:rsidR="005A2191" w:rsidRPr="009218C3" w:rsidRDefault="005A2191" w:rsidP="005A2191">
            <w:pPr>
              <w:pStyle w:val="Tabletext"/>
              <w:jc w:val="center"/>
              <w:rPr>
                <w:color w:val="auto"/>
              </w:rPr>
            </w:pPr>
            <w:r w:rsidRPr="009218C3">
              <w:rPr>
                <w:rFonts w:cs="Calibri"/>
                <w:color w:val="auto"/>
              </w:rPr>
              <w:t>0.0</w:t>
            </w:r>
          </w:p>
        </w:tc>
      </w:tr>
      <w:tr w:rsidR="005A2191" w:rsidRPr="00687A66" w14:paraId="7160E108" w14:textId="77777777" w:rsidTr="00171961">
        <w:trPr>
          <w:cantSplit/>
        </w:trPr>
        <w:tc>
          <w:tcPr>
            <w:tcW w:w="3733" w:type="pct"/>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14:paraId="3A3ED251" w14:textId="77777777" w:rsidR="005A2191" w:rsidRPr="00DD3CDB" w:rsidRDefault="005A2191" w:rsidP="005A2191">
            <w:pPr>
              <w:pStyle w:val="Tabletext"/>
              <w:spacing w:before="0"/>
              <w:rPr>
                <w:b/>
                <w:color w:val="auto"/>
                <w:szCs w:val="20"/>
              </w:rPr>
            </w:pPr>
            <w:r w:rsidRPr="00DD3CDB">
              <w:rPr>
                <w:b/>
                <w:color w:val="auto"/>
                <w:szCs w:val="20"/>
              </w:rPr>
              <w:t xml:space="preserve">Total Gross Emissions </w:t>
            </w:r>
          </w:p>
        </w:tc>
        <w:tc>
          <w:tcPr>
            <w:tcW w:w="1267" w:type="pct"/>
            <w:tcBorders>
              <w:top w:val="single" w:sz="4" w:space="0" w:color="auto"/>
              <w:left w:val="nil"/>
              <w:bottom w:val="single" w:sz="4" w:space="0" w:color="auto"/>
              <w:right w:val="single" w:sz="4" w:space="0" w:color="auto"/>
            </w:tcBorders>
            <w:vAlign w:val="center"/>
          </w:tcPr>
          <w:p w14:paraId="17173BE1" w14:textId="2A576A2F" w:rsidR="005A2191" w:rsidRDefault="0045716A" w:rsidP="005A2191">
            <w:pPr>
              <w:pStyle w:val="Tabletext"/>
              <w:jc w:val="center"/>
              <w:rPr>
                <w:rFonts w:ascii="Calibri" w:hAnsi="Calibri" w:cs="Times New Roman"/>
              </w:rPr>
            </w:pPr>
            <w:r>
              <w:rPr>
                <w:rFonts w:ascii="Calibri" w:hAnsi="Calibri" w:cs="Times New Roman"/>
              </w:rPr>
              <w:t>584.6</w:t>
            </w:r>
          </w:p>
        </w:tc>
      </w:tr>
    </w:tbl>
    <w:p w14:paraId="134919BC" w14:textId="77777777" w:rsidR="00D50098" w:rsidRDefault="001B27B6" w:rsidP="00D50098">
      <w:pPr>
        <w:pStyle w:val="Heading1"/>
      </w:pPr>
      <w:r>
        <w:t>4</w:t>
      </w:r>
      <w:r w:rsidR="00D50098">
        <w:t xml:space="preserve">. Carbon offsets </w:t>
      </w:r>
    </w:p>
    <w:p w14:paraId="766CF405" w14:textId="77777777" w:rsidR="008B1041" w:rsidRPr="00843C77" w:rsidRDefault="00843C77" w:rsidP="00D50098">
      <w:pPr>
        <w:rPr>
          <w:i/>
          <w:sz w:val="20"/>
          <w:szCs w:val="20"/>
          <w:u w:val="single"/>
        </w:rPr>
      </w:pPr>
      <w:r w:rsidRPr="00843C77">
        <w:rPr>
          <w:i/>
          <w:sz w:val="28"/>
          <w:szCs w:val="28"/>
          <w:u w:val="single"/>
        </w:rPr>
        <w:t xml:space="preserve">Part A. </w:t>
      </w:r>
      <w:r w:rsidR="008B1041" w:rsidRPr="00843C77">
        <w:rPr>
          <w:i/>
          <w:sz w:val="28"/>
          <w:szCs w:val="28"/>
          <w:u w:val="single"/>
        </w:rPr>
        <w:t xml:space="preserve">Offsets </w:t>
      </w:r>
      <w:r w:rsidR="000D10EE" w:rsidRPr="00843C77">
        <w:rPr>
          <w:i/>
          <w:sz w:val="28"/>
          <w:szCs w:val="28"/>
          <w:u w:val="single"/>
        </w:rPr>
        <w:t>s</w:t>
      </w:r>
      <w:r w:rsidR="008B1041" w:rsidRPr="00843C77">
        <w:rPr>
          <w:i/>
          <w:sz w:val="28"/>
          <w:szCs w:val="28"/>
          <w:u w:val="single"/>
        </w:rPr>
        <w:t>ummary</w:t>
      </w:r>
    </w:p>
    <w:tbl>
      <w:tblPr>
        <w:tblStyle w:val="TableGrid"/>
        <w:tblW w:w="5000" w:type="pct"/>
        <w:tblBorders>
          <w:top w:val="none" w:sz="0" w:space="0" w:color="auto"/>
          <w:left w:val="none" w:sz="0" w:space="0" w:color="auto"/>
          <w:bottom w:val="none" w:sz="0" w:space="0" w:color="auto"/>
          <w:right w:val="none" w:sz="0" w:space="0" w:color="auto"/>
          <w:insideH w:val="single" w:sz="8" w:space="0" w:color="F8F7F2" w:themeColor="background2" w:themeTint="66"/>
          <w:insideV w:val="single" w:sz="8" w:space="0" w:color="F8F7F2" w:themeColor="background2" w:themeTint="66"/>
        </w:tblBorders>
        <w:tblLayout w:type="fixed"/>
        <w:tblLook w:val="04A0" w:firstRow="1" w:lastRow="0" w:firstColumn="1" w:lastColumn="0" w:noHBand="0" w:noVBand="1"/>
      </w:tblPr>
      <w:tblGrid>
        <w:gridCol w:w="3656"/>
        <w:gridCol w:w="1130"/>
        <w:gridCol w:w="1135"/>
        <w:gridCol w:w="2799"/>
      </w:tblGrid>
      <w:tr w:rsidR="006B0B87" w:rsidRPr="0093212F" w14:paraId="54971AFC" w14:textId="77777777" w:rsidTr="00484A77">
        <w:trPr>
          <w:cantSplit/>
          <w:trHeight w:val="40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3B64CE" w14:textId="177F85D5" w:rsidR="006B0B87" w:rsidRPr="0093212F" w:rsidRDefault="00597262" w:rsidP="00A5474E">
            <w:pPr>
              <w:pStyle w:val="BodyText"/>
              <w:spacing w:after="200"/>
              <w:rPr>
                <w:sz w:val="22"/>
                <w:szCs w:val="20"/>
              </w:rPr>
            </w:pPr>
            <w:r w:rsidRPr="00597262">
              <w:rPr>
                <w:sz w:val="22"/>
                <w:szCs w:val="20"/>
              </w:rPr>
              <w:t>Offsets Summary</w:t>
            </w:r>
          </w:p>
        </w:tc>
      </w:tr>
      <w:tr w:rsidR="00484A77" w:rsidRPr="0093212F" w14:paraId="36A55709" w14:textId="77777777" w:rsidTr="00484A77">
        <w:trPr>
          <w:cantSplit/>
          <w:trHeight w:val="141"/>
          <w:tblHeader/>
        </w:trPr>
        <w:tc>
          <w:tcPr>
            <w:tcW w:w="2096" w:type="pct"/>
            <w:tcBorders>
              <w:top w:val="single" w:sz="4" w:space="0" w:color="auto"/>
              <w:left w:val="single" w:sz="4" w:space="0" w:color="auto"/>
              <w:bottom w:val="single" w:sz="8" w:space="0" w:color="F8F7F2" w:themeColor="background2" w:themeTint="66"/>
              <w:right w:val="single" w:sz="8" w:space="0" w:color="F8F7F2" w:themeColor="background2" w:themeTint="66"/>
            </w:tcBorders>
            <w:shd w:val="clear" w:color="auto" w:fill="DBE5F1" w:themeFill="accent1" w:themeFillTint="33"/>
            <w:vAlign w:val="center"/>
            <w:hideMark/>
          </w:tcPr>
          <w:p w14:paraId="43F321F8" w14:textId="77777777" w:rsidR="00DE0BC5" w:rsidRPr="00B35FB9" w:rsidRDefault="00597262" w:rsidP="008771E4">
            <w:pPr>
              <w:pStyle w:val="BodyText"/>
              <w:spacing w:before="100" w:after="100"/>
              <w:rPr>
                <w:szCs w:val="20"/>
              </w:rPr>
            </w:pPr>
            <w:r w:rsidRPr="00B35FB9">
              <w:rPr>
                <w:szCs w:val="20"/>
              </w:rPr>
              <w:t>Offset type and registry</w:t>
            </w:r>
          </w:p>
        </w:tc>
        <w:tc>
          <w:tcPr>
            <w:tcW w:w="648" w:type="pct"/>
            <w:tcBorders>
              <w:top w:val="single" w:sz="4" w:space="0" w:color="auto"/>
              <w:left w:val="single" w:sz="8" w:space="0" w:color="F8F7F2" w:themeColor="background2" w:themeTint="66"/>
              <w:bottom w:val="single" w:sz="8" w:space="0" w:color="F8F7F2" w:themeColor="background2" w:themeTint="66"/>
              <w:right w:val="single" w:sz="8" w:space="0" w:color="F8F7F2" w:themeColor="background2" w:themeTint="66"/>
            </w:tcBorders>
            <w:shd w:val="clear" w:color="auto" w:fill="DBE5F1" w:themeFill="accent1" w:themeFillTint="33"/>
          </w:tcPr>
          <w:p w14:paraId="616AFA90" w14:textId="77777777" w:rsidR="00DE0BC5" w:rsidRPr="00B35FB9" w:rsidRDefault="00597262" w:rsidP="008771E4">
            <w:pPr>
              <w:pStyle w:val="BodyText"/>
              <w:spacing w:before="100" w:after="100"/>
              <w:rPr>
                <w:szCs w:val="20"/>
              </w:rPr>
            </w:pPr>
            <w:r w:rsidRPr="00B35FB9">
              <w:rPr>
                <w:szCs w:val="20"/>
              </w:rPr>
              <w:t>Year retired</w:t>
            </w:r>
          </w:p>
        </w:tc>
        <w:tc>
          <w:tcPr>
            <w:tcW w:w="651" w:type="pct"/>
            <w:tcBorders>
              <w:top w:val="single" w:sz="4" w:space="0" w:color="auto"/>
              <w:left w:val="single" w:sz="8" w:space="0" w:color="F8F7F2" w:themeColor="background2" w:themeTint="66"/>
              <w:bottom w:val="single" w:sz="8" w:space="0" w:color="F8F7F2" w:themeColor="background2" w:themeTint="66"/>
              <w:right w:val="single" w:sz="8" w:space="0" w:color="F8F7F2" w:themeColor="background2" w:themeTint="66"/>
            </w:tcBorders>
            <w:shd w:val="clear" w:color="auto" w:fill="DBE5F1" w:themeFill="accent1" w:themeFillTint="33"/>
            <w:vAlign w:val="center"/>
            <w:hideMark/>
          </w:tcPr>
          <w:p w14:paraId="601B4D7D" w14:textId="77777777" w:rsidR="00DE0BC5" w:rsidRPr="00B35FB9" w:rsidRDefault="00597262" w:rsidP="008771E4">
            <w:pPr>
              <w:pStyle w:val="BodyText"/>
              <w:spacing w:before="100" w:after="100"/>
              <w:rPr>
                <w:szCs w:val="20"/>
              </w:rPr>
            </w:pPr>
            <w:r w:rsidRPr="00B35FB9">
              <w:rPr>
                <w:szCs w:val="20"/>
              </w:rPr>
              <w:t xml:space="preserve">Quantity </w:t>
            </w:r>
          </w:p>
        </w:tc>
        <w:tc>
          <w:tcPr>
            <w:tcW w:w="1606" w:type="pct"/>
            <w:tcBorders>
              <w:top w:val="single" w:sz="4" w:space="0" w:color="auto"/>
              <w:left w:val="single" w:sz="8" w:space="0" w:color="F8F7F2" w:themeColor="background2" w:themeTint="66"/>
              <w:bottom w:val="single" w:sz="8" w:space="0" w:color="F8F7F2" w:themeColor="background2" w:themeTint="66"/>
              <w:right w:val="single" w:sz="4" w:space="0" w:color="auto"/>
            </w:tcBorders>
            <w:shd w:val="clear" w:color="auto" w:fill="DBE5F1" w:themeFill="accent1" w:themeFillTint="33"/>
            <w:vAlign w:val="center"/>
            <w:hideMark/>
          </w:tcPr>
          <w:p w14:paraId="127892D3" w14:textId="77777777" w:rsidR="00DE0BC5" w:rsidRPr="00B35FB9" w:rsidRDefault="00597262" w:rsidP="008771E4">
            <w:pPr>
              <w:pStyle w:val="BodyText"/>
              <w:spacing w:before="100" w:after="100"/>
              <w:rPr>
                <w:szCs w:val="20"/>
              </w:rPr>
            </w:pPr>
            <w:r w:rsidRPr="00B35FB9">
              <w:rPr>
                <w:szCs w:val="20"/>
              </w:rPr>
              <w:t>Serial numbers</w:t>
            </w:r>
          </w:p>
        </w:tc>
      </w:tr>
      <w:tr w:rsidR="00484A77" w:rsidRPr="0093212F" w14:paraId="15EAA016" w14:textId="77777777" w:rsidTr="00484A77">
        <w:trPr>
          <w:cantSplit/>
          <w:trHeight w:val="1560"/>
        </w:trPr>
        <w:tc>
          <w:tcPr>
            <w:tcW w:w="2096" w:type="pct"/>
            <w:tcBorders>
              <w:top w:val="single" w:sz="8" w:space="0" w:color="F8F7F2" w:themeColor="background2" w:themeTint="66"/>
              <w:left w:val="single" w:sz="4" w:space="0" w:color="auto"/>
              <w:bottom w:val="single" w:sz="8" w:space="0" w:color="F8F7F2" w:themeColor="background2" w:themeTint="66"/>
              <w:right w:val="single" w:sz="8" w:space="0" w:color="F8F7F2" w:themeColor="background2" w:themeTint="66"/>
            </w:tcBorders>
            <w:vAlign w:val="center"/>
            <w:hideMark/>
          </w:tcPr>
          <w:p w14:paraId="0008B875" w14:textId="647454DF" w:rsidR="001B1D60" w:rsidRPr="0045716A" w:rsidRDefault="00484A77" w:rsidP="00F63E61">
            <w:pPr>
              <w:pStyle w:val="Tabletext"/>
              <w:rPr>
                <w:lang w:val="en-AU"/>
              </w:rPr>
            </w:pPr>
            <w:r w:rsidRPr="0045716A">
              <w:t>VCU</w:t>
            </w:r>
            <w:r w:rsidR="00597262" w:rsidRPr="0045716A">
              <w:t xml:space="preserve"> </w:t>
            </w:r>
          </w:p>
          <w:p w14:paraId="69991F37" w14:textId="2BF68DBD" w:rsidR="001B1D60" w:rsidRPr="0045716A" w:rsidRDefault="00484A77" w:rsidP="00F63E61">
            <w:pPr>
              <w:pStyle w:val="Tabletext"/>
              <w:rPr>
                <w:lang w:val="en-AU"/>
              </w:rPr>
            </w:pPr>
            <w:r w:rsidRPr="0045716A">
              <w:t>VCS Registry</w:t>
            </w:r>
          </w:p>
          <w:p w14:paraId="2F4CA530" w14:textId="2B6BCBB2" w:rsidR="001B1D60" w:rsidRPr="0045716A" w:rsidRDefault="00F63E61" w:rsidP="00F63E61">
            <w:pPr>
              <w:pStyle w:val="Tabletext"/>
              <w:rPr>
                <w:u w:val="single"/>
                <w:lang w:val="en-AU"/>
              </w:rPr>
            </w:pPr>
            <w:r w:rsidRPr="00F63E61">
              <w:rPr>
                <w:u w:val="single"/>
              </w:rPr>
              <w:t>https://vcsregistry2.apx.com/myModule/rpt/myrpt.asp?r=206&amp;h=15633</w:t>
            </w:r>
          </w:p>
        </w:tc>
        <w:tc>
          <w:tcPr>
            <w:tcW w:w="648" w:type="pct"/>
            <w:tcBorders>
              <w:top w:val="single" w:sz="8" w:space="0" w:color="F8F7F2" w:themeColor="background2" w:themeTint="66"/>
              <w:left w:val="single" w:sz="8" w:space="0" w:color="F8F7F2" w:themeColor="background2" w:themeTint="66"/>
              <w:bottom w:val="single" w:sz="8" w:space="0" w:color="F8F7F2" w:themeColor="background2" w:themeTint="66"/>
              <w:right w:val="single" w:sz="8" w:space="0" w:color="F8F7F2" w:themeColor="background2" w:themeTint="66"/>
            </w:tcBorders>
            <w:vAlign w:val="center"/>
          </w:tcPr>
          <w:p w14:paraId="2A69DE62" w14:textId="74424319" w:rsidR="00DE0BC5" w:rsidRPr="0045716A" w:rsidRDefault="00484A77" w:rsidP="00F63E61">
            <w:pPr>
              <w:pStyle w:val="Tabletext"/>
              <w:rPr>
                <w:szCs w:val="20"/>
              </w:rPr>
            </w:pPr>
            <w:r w:rsidRPr="0045716A">
              <w:rPr>
                <w:szCs w:val="20"/>
              </w:rPr>
              <w:t>201</w:t>
            </w:r>
            <w:r w:rsidR="00F63E61">
              <w:rPr>
                <w:szCs w:val="20"/>
              </w:rPr>
              <w:t>7</w:t>
            </w:r>
          </w:p>
        </w:tc>
        <w:tc>
          <w:tcPr>
            <w:tcW w:w="651" w:type="pct"/>
            <w:tcBorders>
              <w:top w:val="single" w:sz="8" w:space="0" w:color="F8F7F2" w:themeColor="background2" w:themeTint="66"/>
              <w:left w:val="single" w:sz="8" w:space="0" w:color="F8F7F2" w:themeColor="background2" w:themeTint="66"/>
              <w:bottom w:val="single" w:sz="8" w:space="0" w:color="F8F7F2" w:themeColor="background2" w:themeTint="66"/>
              <w:right w:val="single" w:sz="8" w:space="0" w:color="F8F7F2" w:themeColor="background2" w:themeTint="66"/>
            </w:tcBorders>
            <w:vAlign w:val="center"/>
          </w:tcPr>
          <w:p w14:paraId="3A851511" w14:textId="31DB0191" w:rsidR="00DE0BC5" w:rsidRPr="0045716A" w:rsidRDefault="00484A77" w:rsidP="00F63E61">
            <w:pPr>
              <w:pStyle w:val="Tabletext"/>
              <w:rPr>
                <w:szCs w:val="20"/>
              </w:rPr>
            </w:pPr>
            <w:r w:rsidRPr="0045716A">
              <w:rPr>
                <w:szCs w:val="20"/>
              </w:rPr>
              <w:t>5</w:t>
            </w:r>
            <w:r w:rsidR="00DA46F0">
              <w:rPr>
                <w:szCs w:val="20"/>
              </w:rPr>
              <w:t>85</w:t>
            </w:r>
          </w:p>
        </w:tc>
        <w:tc>
          <w:tcPr>
            <w:tcW w:w="1606" w:type="pct"/>
            <w:tcBorders>
              <w:top w:val="single" w:sz="8" w:space="0" w:color="F8F7F2" w:themeColor="background2" w:themeTint="66"/>
              <w:left w:val="single" w:sz="8" w:space="0" w:color="F8F7F2" w:themeColor="background2" w:themeTint="66"/>
              <w:bottom w:val="single" w:sz="8" w:space="0" w:color="F8F7F2" w:themeColor="background2" w:themeTint="66"/>
              <w:right w:val="single" w:sz="4" w:space="0" w:color="auto"/>
            </w:tcBorders>
            <w:vAlign w:val="center"/>
          </w:tcPr>
          <w:p w14:paraId="1E86013F" w14:textId="1059BF55" w:rsidR="00DE0BC5" w:rsidRPr="0045716A" w:rsidRDefault="00F63E61" w:rsidP="00F63E61">
            <w:pPr>
              <w:pStyle w:val="Tabletext"/>
              <w:rPr>
                <w:szCs w:val="20"/>
              </w:rPr>
            </w:pPr>
            <w:r>
              <w:rPr>
                <w:rFonts w:eastAsia="Times New Roman" w:cs="Times New Roman"/>
              </w:rPr>
              <w:t>1968-80449323-80449907-VCU-009-APX-IN-1-370-01012008-31122008-0</w:t>
            </w:r>
          </w:p>
        </w:tc>
      </w:tr>
      <w:tr w:rsidR="00484A77" w:rsidRPr="0093212F" w14:paraId="76AB8229" w14:textId="77777777" w:rsidTr="00484A77">
        <w:trPr>
          <w:cantSplit/>
          <w:trHeight w:val="425"/>
        </w:trPr>
        <w:tc>
          <w:tcPr>
            <w:tcW w:w="3394"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86E44" w14:textId="77777777" w:rsidR="006B0B87" w:rsidRPr="0045716A" w:rsidRDefault="006B0B87" w:rsidP="00F63E61">
            <w:pPr>
              <w:pStyle w:val="Tabletext"/>
              <w:rPr>
                <w:szCs w:val="20"/>
              </w:rPr>
            </w:pPr>
            <w:r w:rsidRPr="0045716A">
              <w:rPr>
                <w:szCs w:val="20"/>
              </w:rPr>
              <w:t xml:space="preserve">Total offsets retired </w:t>
            </w:r>
          </w:p>
        </w:tc>
        <w:tc>
          <w:tcPr>
            <w:tcW w:w="1606" w:type="pct"/>
            <w:tcBorders>
              <w:top w:val="single" w:sz="4" w:space="0" w:color="auto"/>
              <w:left w:val="single" w:sz="4" w:space="0" w:color="auto"/>
              <w:bottom w:val="single" w:sz="4" w:space="0" w:color="auto"/>
              <w:right w:val="single" w:sz="4" w:space="0" w:color="auto"/>
            </w:tcBorders>
          </w:tcPr>
          <w:p w14:paraId="342B2808" w14:textId="55E995EA" w:rsidR="006B0B87" w:rsidRPr="0045716A" w:rsidRDefault="00484A77" w:rsidP="00F63E61">
            <w:pPr>
              <w:pStyle w:val="Tabletext"/>
              <w:rPr>
                <w:szCs w:val="20"/>
              </w:rPr>
            </w:pPr>
            <w:r w:rsidRPr="0045716A">
              <w:rPr>
                <w:szCs w:val="20"/>
              </w:rPr>
              <w:t>5</w:t>
            </w:r>
            <w:r w:rsidR="00DA46F0">
              <w:rPr>
                <w:szCs w:val="20"/>
              </w:rPr>
              <w:t>85</w:t>
            </w:r>
          </w:p>
        </w:tc>
      </w:tr>
      <w:tr w:rsidR="00484A77" w:rsidRPr="0093212F" w14:paraId="0F4168CA" w14:textId="77777777" w:rsidTr="00484A77">
        <w:trPr>
          <w:cantSplit/>
          <w:trHeight w:val="435"/>
        </w:trPr>
        <w:tc>
          <w:tcPr>
            <w:tcW w:w="3394"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D5522" w14:textId="77777777" w:rsidR="006B0B87" w:rsidRPr="0045716A" w:rsidRDefault="006B0B87" w:rsidP="00F63E61">
            <w:pPr>
              <w:pStyle w:val="Tabletext"/>
              <w:rPr>
                <w:szCs w:val="20"/>
              </w:rPr>
            </w:pPr>
            <w:r w:rsidRPr="0045716A">
              <w:rPr>
                <w:szCs w:val="20"/>
              </w:rPr>
              <w:t>Net emissions</w:t>
            </w:r>
          </w:p>
        </w:tc>
        <w:tc>
          <w:tcPr>
            <w:tcW w:w="1606" w:type="pct"/>
            <w:tcBorders>
              <w:top w:val="single" w:sz="4" w:space="0" w:color="auto"/>
              <w:left w:val="single" w:sz="4" w:space="0" w:color="auto"/>
              <w:bottom w:val="single" w:sz="4" w:space="0" w:color="auto"/>
              <w:right w:val="single" w:sz="4" w:space="0" w:color="auto"/>
            </w:tcBorders>
          </w:tcPr>
          <w:p w14:paraId="10A7C51B" w14:textId="6BB787A4" w:rsidR="006B0B87" w:rsidRPr="0045716A" w:rsidRDefault="00484A77" w:rsidP="00F63E61">
            <w:pPr>
              <w:pStyle w:val="Tabletext"/>
              <w:rPr>
                <w:szCs w:val="20"/>
              </w:rPr>
            </w:pPr>
            <w:r w:rsidRPr="0045716A">
              <w:rPr>
                <w:szCs w:val="20"/>
              </w:rPr>
              <w:t>0</w:t>
            </w:r>
          </w:p>
        </w:tc>
      </w:tr>
      <w:tr w:rsidR="00484A77" w14:paraId="590752F5" w14:textId="77777777" w:rsidTr="00484A77">
        <w:trPr>
          <w:cantSplit/>
          <w:trHeight w:val="881"/>
        </w:trPr>
        <w:tc>
          <w:tcPr>
            <w:tcW w:w="3394"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ABD70" w14:textId="53A6F029" w:rsidR="006B0B87" w:rsidRPr="0045716A" w:rsidRDefault="006B0B87" w:rsidP="00F63E61">
            <w:pPr>
              <w:pStyle w:val="Tabletext"/>
              <w:rPr>
                <w:szCs w:val="20"/>
              </w:rPr>
            </w:pPr>
            <w:r w:rsidRPr="0045716A">
              <w:rPr>
                <w:szCs w:val="20"/>
              </w:rPr>
              <w:t>Total offsets held in surplus for future years:</w:t>
            </w:r>
          </w:p>
        </w:tc>
        <w:tc>
          <w:tcPr>
            <w:tcW w:w="1606" w:type="pct"/>
            <w:tcBorders>
              <w:top w:val="single" w:sz="4" w:space="0" w:color="auto"/>
              <w:left w:val="single" w:sz="4" w:space="0" w:color="auto"/>
              <w:bottom w:val="single" w:sz="4" w:space="0" w:color="auto"/>
              <w:right w:val="single" w:sz="4" w:space="0" w:color="auto"/>
            </w:tcBorders>
          </w:tcPr>
          <w:p w14:paraId="77D24754" w14:textId="46584882" w:rsidR="006B0B87" w:rsidRPr="0045716A" w:rsidRDefault="00484A77" w:rsidP="00F63E61">
            <w:pPr>
              <w:pStyle w:val="Tabletext"/>
              <w:rPr>
                <w:szCs w:val="20"/>
              </w:rPr>
            </w:pPr>
            <w:r w:rsidRPr="0045716A">
              <w:rPr>
                <w:szCs w:val="20"/>
              </w:rPr>
              <w:t>0</w:t>
            </w:r>
          </w:p>
        </w:tc>
      </w:tr>
    </w:tbl>
    <w:p w14:paraId="09065B25" w14:textId="77777777" w:rsidR="000724DA" w:rsidRPr="0093212F" w:rsidRDefault="000724DA" w:rsidP="00D50098">
      <w:pPr>
        <w:rPr>
          <w:sz w:val="20"/>
          <w:szCs w:val="20"/>
        </w:rPr>
      </w:pPr>
    </w:p>
    <w:p w14:paraId="53E3619F" w14:textId="77777777" w:rsidR="008B1041" w:rsidRPr="00843C77" w:rsidRDefault="00843C77" w:rsidP="008B1041">
      <w:pPr>
        <w:rPr>
          <w:i/>
          <w:sz w:val="28"/>
          <w:szCs w:val="28"/>
          <w:u w:val="single"/>
        </w:rPr>
      </w:pPr>
      <w:r w:rsidRPr="00843C77">
        <w:rPr>
          <w:i/>
          <w:sz w:val="28"/>
          <w:szCs w:val="28"/>
          <w:u w:val="single"/>
        </w:rPr>
        <w:t xml:space="preserve">Part B. </w:t>
      </w:r>
      <w:r w:rsidR="008B1041" w:rsidRPr="00843C77">
        <w:rPr>
          <w:i/>
          <w:sz w:val="28"/>
          <w:szCs w:val="28"/>
          <w:u w:val="single"/>
        </w:rPr>
        <w:t xml:space="preserve">Offsets </w:t>
      </w:r>
      <w:r w:rsidR="000D10EE" w:rsidRPr="00843C77">
        <w:rPr>
          <w:i/>
          <w:sz w:val="28"/>
          <w:szCs w:val="28"/>
          <w:u w:val="single"/>
        </w:rPr>
        <w:t>p</w:t>
      </w:r>
      <w:r w:rsidR="008B1041" w:rsidRPr="00843C77">
        <w:rPr>
          <w:i/>
          <w:sz w:val="28"/>
          <w:szCs w:val="28"/>
          <w:u w:val="single"/>
        </w:rPr>
        <w:t xml:space="preserve">urchasing and </w:t>
      </w:r>
      <w:r w:rsidR="000D10EE" w:rsidRPr="00843C77">
        <w:rPr>
          <w:i/>
          <w:sz w:val="28"/>
          <w:szCs w:val="28"/>
          <w:u w:val="single"/>
        </w:rPr>
        <w:t>r</w:t>
      </w:r>
      <w:r w:rsidR="008B1041" w:rsidRPr="00843C77">
        <w:rPr>
          <w:i/>
          <w:sz w:val="28"/>
          <w:szCs w:val="28"/>
          <w:u w:val="single"/>
        </w:rPr>
        <w:t xml:space="preserve">etirement </w:t>
      </w:r>
      <w:r w:rsidR="000D10EE" w:rsidRPr="00843C77">
        <w:rPr>
          <w:i/>
          <w:sz w:val="28"/>
          <w:szCs w:val="28"/>
          <w:u w:val="single"/>
        </w:rPr>
        <w:t>s</w:t>
      </w:r>
      <w:r w:rsidR="008B1041" w:rsidRPr="00843C77">
        <w:rPr>
          <w:i/>
          <w:sz w:val="28"/>
          <w:szCs w:val="28"/>
          <w:u w:val="single"/>
        </w:rPr>
        <w:t xml:space="preserve">trategy  </w:t>
      </w:r>
    </w:p>
    <w:p w14:paraId="077F02A2" w14:textId="3DDFA6EB" w:rsidR="00D50098" w:rsidRPr="00EC3043" w:rsidRDefault="00F63E61" w:rsidP="00171961">
      <w:r>
        <w:t>O</w:t>
      </w:r>
      <w:r w:rsidR="00171961">
        <w:t>ffsets are purchased and retired in arrears at the end of the reporting period.</w:t>
      </w:r>
    </w:p>
    <w:sectPr w:rsidR="00D50098" w:rsidRPr="00EC3043" w:rsidSect="00DA2A62">
      <w:pgSz w:w="11906" w:h="16838"/>
      <w:pgMar w:top="1701" w:right="1701"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B1EF" w14:textId="77777777" w:rsidR="00484A77" w:rsidRDefault="00484A77" w:rsidP="00FF469F">
      <w:pPr>
        <w:spacing w:after="0" w:line="240" w:lineRule="auto"/>
      </w:pPr>
      <w:r>
        <w:separator/>
      </w:r>
    </w:p>
  </w:endnote>
  <w:endnote w:type="continuationSeparator" w:id="0">
    <w:p w14:paraId="61A66E1D" w14:textId="77777777" w:rsidR="00484A77" w:rsidRDefault="00484A77" w:rsidP="00FF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4ECA" w14:textId="77777777" w:rsidR="00484A77" w:rsidRDefault="00484A77" w:rsidP="005E5675">
    <w:pPr>
      <w:pStyle w:val="Footer"/>
      <w:jc w:val="center"/>
    </w:pPr>
  </w:p>
  <w:p w14:paraId="0EF55109" w14:textId="565B250C" w:rsidR="00484A77" w:rsidRDefault="00484A77">
    <w:pPr>
      <w:pStyle w:val="Footer"/>
      <w:tabs>
        <w:tab w:val="left" w:pos="2020"/>
      </w:tabs>
    </w:pPr>
    <w:r>
      <w:tab/>
    </w:r>
    <w:r>
      <w:tab/>
      <w:t xml:space="preserve">Page </w:t>
    </w:r>
    <w:r>
      <w:fldChar w:fldCharType="begin"/>
    </w:r>
    <w:r>
      <w:instrText xml:space="preserve"> PAGE   \* MERGEFORMAT </w:instrText>
    </w:r>
    <w:r>
      <w:fldChar w:fldCharType="separate"/>
    </w:r>
    <w:r w:rsidR="00C809F9">
      <w:rPr>
        <w:noProof/>
      </w:rPr>
      <w:t>8</w:t>
    </w:r>
    <w:r>
      <w:rPr>
        <w:noProof/>
      </w:rPr>
      <w:fldChar w:fldCharType="end"/>
    </w:r>
    <w:r>
      <w:t>/</w:t>
    </w:r>
    <w:r w:rsidR="00C809F9">
      <w:fldChar w:fldCharType="begin"/>
    </w:r>
    <w:r w:rsidR="00C809F9">
      <w:instrText xml:space="preserve"> NUMPAGES   \* MERGEFORMAT </w:instrText>
    </w:r>
    <w:r w:rsidR="00C809F9">
      <w:fldChar w:fldCharType="separate"/>
    </w:r>
    <w:r w:rsidR="00C809F9">
      <w:rPr>
        <w:noProof/>
      </w:rPr>
      <w:t>8</w:t>
    </w:r>
    <w:r w:rsidR="00C809F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7C6C2" w14:textId="77777777" w:rsidR="00484A77" w:rsidRDefault="00484A77" w:rsidP="005E5675">
    <w:pPr>
      <w:pStyle w:val="Footer"/>
      <w:jc w:val="center"/>
      <w:rPr>
        <w:sz w:val="14"/>
        <w:szCs w:val="14"/>
      </w:rPr>
    </w:pPr>
  </w:p>
  <w:p w14:paraId="63B0B646" w14:textId="7B098AE1" w:rsidR="00484A77" w:rsidRDefault="00484A77" w:rsidP="005E5675">
    <w:pPr>
      <w:pStyle w:val="Footer"/>
    </w:pPr>
    <w:r>
      <w:rPr>
        <w:noProof/>
        <w:lang w:val="en-AU" w:eastAsia="en-AU"/>
      </w:rPr>
      <w:drawing>
        <wp:anchor distT="0" distB="0" distL="114300" distR="114300" simplePos="0" relativeHeight="251663360" behindDoc="0" locked="0" layoutInCell="1" allowOverlap="1" wp14:anchorId="20B9866F" wp14:editId="086725E5">
          <wp:simplePos x="0" y="0"/>
          <wp:positionH relativeFrom="column">
            <wp:posOffset>1523089</wp:posOffset>
          </wp:positionH>
          <wp:positionV relativeFrom="paragraph">
            <wp:posOffset>70347</wp:posOffset>
          </wp:positionV>
          <wp:extent cx="2376529" cy="508883"/>
          <wp:effectExtent l="19050" t="0" r="4721" b="0"/>
          <wp:wrapNone/>
          <wp:docPr id="45"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1"/>
                  <a:stretch>
                    <a:fillRect/>
                  </a:stretch>
                </pic:blipFill>
                <pic:spPr>
                  <a:xfrm>
                    <a:off x="0" y="0"/>
                    <a:ext cx="2376529" cy="508883"/>
                  </a:xfrm>
                  <a:prstGeom prst="rect">
                    <a:avLst/>
                  </a:prstGeom>
                </pic:spPr>
              </pic:pic>
            </a:graphicData>
          </a:graphic>
        </wp:anchor>
      </w:drawing>
    </w:r>
    <w:r>
      <w:tab/>
      <w:t xml:space="preserve">Page </w:t>
    </w:r>
    <w:r>
      <w:fldChar w:fldCharType="begin"/>
    </w:r>
    <w:r>
      <w:instrText xml:space="preserve"> PAGE   \* MERGEFORMAT </w:instrText>
    </w:r>
    <w:r>
      <w:fldChar w:fldCharType="separate"/>
    </w:r>
    <w:r w:rsidR="00C809F9">
      <w:rPr>
        <w:noProof/>
      </w:rPr>
      <w:t>1</w:t>
    </w:r>
    <w:r>
      <w:rPr>
        <w:noProof/>
      </w:rPr>
      <w:fldChar w:fldCharType="end"/>
    </w:r>
    <w:r>
      <w:t>/</w:t>
    </w:r>
    <w:r w:rsidR="00C809F9">
      <w:fldChar w:fldCharType="begin"/>
    </w:r>
    <w:r w:rsidR="00C809F9">
      <w:instrText xml:space="preserve"> NUMPAGES   \* MERGEFORMAT </w:instrText>
    </w:r>
    <w:r w:rsidR="00C809F9">
      <w:fldChar w:fldCharType="separate"/>
    </w:r>
    <w:r w:rsidR="00C809F9">
      <w:rPr>
        <w:noProof/>
      </w:rPr>
      <w:t>8</w:t>
    </w:r>
    <w:r w:rsidR="00C809F9">
      <w:rPr>
        <w:noProof/>
      </w:rPr>
      <w:fldChar w:fldCharType="end"/>
    </w:r>
  </w:p>
  <w:p w14:paraId="0D4D854F" w14:textId="77777777" w:rsidR="00484A77" w:rsidRDefault="00484A77" w:rsidP="00B832C7">
    <w:pPr>
      <w:pStyle w:val="BodyText"/>
      <w:rPr>
        <w:i/>
        <w:iCs/>
        <w:color w:val="000000"/>
        <w:sz w:val="12"/>
        <w:szCs w:val="12"/>
      </w:rPr>
    </w:pPr>
  </w:p>
  <w:p w14:paraId="71FFCE0F" w14:textId="77777777" w:rsidR="00484A77" w:rsidRDefault="00484A77" w:rsidP="00B832C7">
    <w:pPr>
      <w:pStyle w:val="BodyText"/>
      <w:rPr>
        <w:i/>
        <w:iCs/>
        <w:color w:val="000000"/>
        <w:sz w:val="12"/>
        <w:szCs w:val="12"/>
      </w:rPr>
    </w:pPr>
  </w:p>
  <w:p w14:paraId="7D9115A6" w14:textId="77777777" w:rsidR="00484A77" w:rsidRPr="00840EAE" w:rsidRDefault="00484A77" w:rsidP="00840EAE">
    <w:pPr>
      <w:rPr>
        <w:rFonts w:ascii="Verdana" w:hAnsi="Verdana"/>
        <w:i/>
        <w:iCs/>
        <w:sz w:val="14"/>
        <w:szCs w:val="14"/>
        <w:bdr w:val="none" w:sz="0" w:space="0" w:color="auto" w:frame="1"/>
      </w:rPr>
    </w:pPr>
    <w:r w:rsidRPr="00840EAE">
      <w:rPr>
        <w:rStyle w:val="Emphasis"/>
        <w:rFonts w:ascii="Verdana" w:hAnsi="Verdana"/>
        <w:sz w:val="14"/>
        <w:szCs w:val="14"/>
      </w:rPr>
      <w:t>Public Disclosure Summary documents are prepared by the submitting organisation. The material in Public Disclosure Summary documents represents the views of the organisation and do not necessarily reflect the views of the Commonwealth. The Commonwealth does not guarantee the accuracy of the contents of the Public Disclosure Summary documents and disclaims liability for any loss arising from the use of the document for any purpose.</w:t>
    </w:r>
  </w:p>
  <w:p w14:paraId="41F8796A" w14:textId="77777777" w:rsidR="00484A77" w:rsidRPr="004B3CA3" w:rsidRDefault="00484A77" w:rsidP="00B852C0">
    <w:pPr>
      <w:pStyle w:val="Header"/>
      <w:rPr>
        <w:rFonts w:ascii="Verdana" w:hAnsi="Verdana"/>
        <w:color w:val="0070C0"/>
        <w:sz w:val="14"/>
        <w:szCs w:val="14"/>
      </w:rPr>
    </w:pPr>
    <w:r w:rsidRPr="00C47860">
      <w:rPr>
        <w:rFonts w:ascii="Verdana" w:hAnsi="Verdana"/>
        <w:color w:val="0070C0"/>
        <w:sz w:val="14"/>
        <w:szCs w:val="14"/>
      </w:rPr>
      <w:t>Template Version:  3 June 2015 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7E522" w14:textId="77777777" w:rsidR="00484A77" w:rsidRDefault="00484A77" w:rsidP="00FF469F">
      <w:pPr>
        <w:spacing w:after="0" w:line="240" w:lineRule="auto"/>
      </w:pPr>
      <w:r>
        <w:separator/>
      </w:r>
    </w:p>
  </w:footnote>
  <w:footnote w:type="continuationSeparator" w:id="0">
    <w:p w14:paraId="4191E182" w14:textId="77777777" w:rsidR="00484A77" w:rsidRDefault="00484A77" w:rsidP="00FF4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201C" w14:textId="77777777" w:rsidR="00484A77" w:rsidRDefault="00484A77" w:rsidP="00A370CC">
    <w:pPr>
      <w:pStyle w:val="Header"/>
      <w:jc w:val="right"/>
    </w:pPr>
    <w:r>
      <w:t>Public Disclosure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E270" w14:textId="77777777" w:rsidR="00484A77" w:rsidRDefault="00484A77" w:rsidP="005E5675">
    <w:pPr>
      <w:pStyle w:val="Header"/>
      <w:jc w:val="right"/>
    </w:pPr>
  </w:p>
  <w:p w14:paraId="758CBBED" w14:textId="77777777" w:rsidR="00484A77" w:rsidRDefault="00484A77" w:rsidP="00726CFA">
    <w:pPr>
      <w:pStyle w:val="Header"/>
      <w:jc w:val="right"/>
      <w:rPr>
        <w:sz w:val="52"/>
        <w:szCs w:val="52"/>
      </w:rPr>
    </w:pPr>
    <w:r>
      <w:rPr>
        <w:sz w:val="52"/>
        <w:szCs w:val="52"/>
      </w:rPr>
      <w:t>National Carbon Offset Standard</w:t>
    </w:r>
  </w:p>
  <w:p w14:paraId="331259C0" w14:textId="77777777" w:rsidR="00484A77" w:rsidRPr="00C736D0" w:rsidRDefault="00484A77" w:rsidP="00726CFA">
    <w:pPr>
      <w:pStyle w:val="Header"/>
      <w:jc w:val="right"/>
      <w:rPr>
        <w:sz w:val="52"/>
        <w:szCs w:val="52"/>
      </w:rPr>
    </w:pPr>
    <w:r w:rsidRPr="00C736D0">
      <w:rPr>
        <w:sz w:val="52"/>
        <w:szCs w:val="52"/>
      </w:rPr>
      <w:t>Carbon Neutral Program</w:t>
    </w:r>
  </w:p>
  <w:p w14:paraId="6209EEE5" w14:textId="77777777" w:rsidR="00484A77" w:rsidRPr="00D342BC" w:rsidRDefault="00484A77" w:rsidP="00726CFA">
    <w:pPr>
      <w:pStyle w:val="Header"/>
      <w:jc w:val="right"/>
      <w:rPr>
        <w:b/>
        <w:sz w:val="52"/>
        <w:szCs w:val="52"/>
      </w:rPr>
    </w:pPr>
    <w:r w:rsidRPr="00D342BC">
      <w:rPr>
        <w:b/>
        <w:sz w:val="52"/>
        <w:szCs w:val="52"/>
      </w:rPr>
      <w:t>Public Disclosure Summary</w:t>
    </w:r>
  </w:p>
  <w:p w14:paraId="321EA05B" w14:textId="77777777" w:rsidR="00484A77" w:rsidRDefault="00484A77" w:rsidP="005E5675">
    <w:pPr>
      <w:pStyle w:val="Header"/>
      <w:jc w:val="right"/>
    </w:pPr>
  </w:p>
  <w:tbl>
    <w:tblPr>
      <w:tblW w:w="0" w:type="auto"/>
      <w:jc w:val="right"/>
      <w:tblLook w:val="04A0" w:firstRow="1" w:lastRow="0" w:firstColumn="1" w:lastColumn="0" w:noHBand="0" w:noVBand="1"/>
    </w:tblPr>
    <w:tblGrid>
      <w:gridCol w:w="1418"/>
      <w:gridCol w:w="3225"/>
    </w:tblGrid>
    <w:tr w:rsidR="00484A77" w14:paraId="3A7DCEEF" w14:textId="77777777" w:rsidTr="00EA0894">
      <w:trPr>
        <w:jc w:val="right"/>
      </w:trPr>
      <w:tc>
        <w:tcPr>
          <w:tcW w:w="1418" w:type="dxa"/>
        </w:tcPr>
        <w:p w14:paraId="5BFAA2BE" w14:textId="77777777" w:rsidR="00484A77" w:rsidRDefault="00484A77" w:rsidP="005E5675">
          <w:pPr>
            <w:pStyle w:val="Header"/>
            <w:jc w:val="center"/>
            <w:rPr>
              <w:noProof/>
              <w:lang w:val="en-AU" w:eastAsia="en-AU"/>
            </w:rPr>
          </w:pPr>
        </w:p>
      </w:tc>
      <w:tc>
        <w:tcPr>
          <w:tcW w:w="3225" w:type="dxa"/>
          <w:vAlign w:val="center"/>
        </w:tcPr>
        <w:p w14:paraId="39422B24" w14:textId="77777777" w:rsidR="00484A77" w:rsidRDefault="00484A77" w:rsidP="005E5675">
          <w:pPr>
            <w:pStyle w:val="Header"/>
            <w:jc w:val="center"/>
          </w:pPr>
          <w:r>
            <w:rPr>
              <w:noProof/>
              <w:lang w:val="en-AU" w:eastAsia="en-AU"/>
            </w:rPr>
            <w:drawing>
              <wp:inline distT="0" distB="0" distL="0" distR="0" wp14:anchorId="53EBEFDA" wp14:editId="1D5D5604">
                <wp:extent cx="1635868" cy="776588"/>
                <wp:effectExtent l="19050" t="0" r="2432" b="0"/>
                <wp:docPr id="44" name="Picture 1" descr="Element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4 (1).jpg"/>
                        <pic:cNvPicPr/>
                      </pic:nvPicPr>
                      <pic:blipFill>
                        <a:blip r:embed="rId1"/>
                        <a:stretch>
                          <a:fillRect/>
                        </a:stretch>
                      </pic:blipFill>
                      <pic:spPr>
                        <a:xfrm>
                          <a:off x="0" y="0"/>
                          <a:ext cx="1640151" cy="778621"/>
                        </a:xfrm>
                        <a:prstGeom prst="rect">
                          <a:avLst/>
                        </a:prstGeom>
                      </pic:spPr>
                    </pic:pic>
                  </a:graphicData>
                </a:graphic>
              </wp:inline>
            </w:drawing>
          </w:r>
        </w:p>
      </w:tc>
    </w:tr>
  </w:tbl>
  <w:p w14:paraId="07786BE9" w14:textId="77777777" w:rsidR="00484A77" w:rsidRDefault="00484A77" w:rsidP="005E5675">
    <w:pPr>
      <w:pStyle w:val="Header"/>
    </w:pPr>
  </w:p>
  <w:p w14:paraId="31D08F41" w14:textId="77777777" w:rsidR="00484A77" w:rsidRDefault="00484A77" w:rsidP="005E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590"/>
    <w:multiLevelType w:val="hybridMultilevel"/>
    <w:tmpl w:val="B636E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85C2D"/>
    <w:multiLevelType w:val="hybridMultilevel"/>
    <w:tmpl w:val="7794C6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224DE6"/>
    <w:multiLevelType w:val="hybridMultilevel"/>
    <w:tmpl w:val="83C45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66511"/>
    <w:multiLevelType w:val="hybridMultilevel"/>
    <w:tmpl w:val="27C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43564"/>
    <w:multiLevelType w:val="hybridMultilevel"/>
    <w:tmpl w:val="DB9E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3C11"/>
    <w:multiLevelType w:val="hybridMultilevel"/>
    <w:tmpl w:val="E606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8154A"/>
    <w:multiLevelType w:val="hybridMultilevel"/>
    <w:tmpl w:val="CDB2C8A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7370C6"/>
    <w:multiLevelType w:val="hybridMultilevel"/>
    <w:tmpl w:val="655262D4"/>
    <w:lvl w:ilvl="0" w:tplc="B464D18C">
      <w:start w:val="18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205FB"/>
    <w:multiLevelType w:val="hybridMultilevel"/>
    <w:tmpl w:val="0302E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o:colormenu v:ext="edit" fill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8"/>
    <w:rsid w:val="00002A7C"/>
    <w:rsid w:val="00010687"/>
    <w:rsid w:val="00025A16"/>
    <w:rsid w:val="00041776"/>
    <w:rsid w:val="00046D96"/>
    <w:rsid w:val="000659FF"/>
    <w:rsid w:val="00071238"/>
    <w:rsid w:val="000724DA"/>
    <w:rsid w:val="00074BDE"/>
    <w:rsid w:val="00092467"/>
    <w:rsid w:val="000955B7"/>
    <w:rsid w:val="000A470B"/>
    <w:rsid w:val="000A760B"/>
    <w:rsid w:val="000C5E5E"/>
    <w:rsid w:val="000D10EE"/>
    <w:rsid w:val="000D44F0"/>
    <w:rsid w:val="000F7D85"/>
    <w:rsid w:val="001118AF"/>
    <w:rsid w:val="00122C4F"/>
    <w:rsid w:val="00123C7D"/>
    <w:rsid w:val="001429B2"/>
    <w:rsid w:val="00171961"/>
    <w:rsid w:val="00175443"/>
    <w:rsid w:val="001774EA"/>
    <w:rsid w:val="0019063A"/>
    <w:rsid w:val="001A27C2"/>
    <w:rsid w:val="001B1D60"/>
    <w:rsid w:val="001B27B6"/>
    <w:rsid w:val="001C1FBA"/>
    <w:rsid w:val="001E265A"/>
    <w:rsid w:val="001E3255"/>
    <w:rsid w:val="001F52DA"/>
    <w:rsid w:val="001F5F26"/>
    <w:rsid w:val="00200E83"/>
    <w:rsid w:val="002015DB"/>
    <w:rsid w:val="00256F23"/>
    <w:rsid w:val="00260501"/>
    <w:rsid w:val="0026414A"/>
    <w:rsid w:val="0027158B"/>
    <w:rsid w:val="002716D2"/>
    <w:rsid w:val="00297F8C"/>
    <w:rsid w:val="002C372E"/>
    <w:rsid w:val="002D67B9"/>
    <w:rsid w:val="002D7F44"/>
    <w:rsid w:val="002E41B6"/>
    <w:rsid w:val="002E4A58"/>
    <w:rsid w:val="002E6D86"/>
    <w:rsid w:val="002F4E9A"/>
    <w:rsid w:val="002F5942"/>
    <w:rsid w:val="00303843"/>
    <w:rsid w:val="00304D98"/>
    <w:rsid w:val="00311CBB"/>
    <w:rsid w:val="00312DF9"/>
    <w:rsid w:val="00313070"/>
    <w:rsid w:val="00316BEB"/>
    <w:rsid w:val="003236BB"/>
    <w:rsid w:val="00324BD4"/>
    <w:rsid w:val="00330530"/>
    <w:rsid w:val="0033614C"/>
    <w:rsid w:val="00342364"/>
    <w:rsid w:val="0034288F"/>
    <w:rsid w:val="00343273"/>
    <w:rsid w:val="0034431A"/>
    <w:rsid w:val="0036427E"/>
    <w:rsid w:val="00372B86"/>
    <w:rsid w:val="00382F1C"/>
    <w:rsid w:val="00384895"/>
    <w:rsid w:val="003860EC"/>
    <w:rsid w:val="00390EAA"/>
    <w:rsid w:val="003A30DD"/>
    <w:rsid w:val="003B2A35"/>
    <w:rsid w:val="003C427A"/>
    <w:rsid w:val="003D5CF7"/>
    <w:rsid w:val="003D702E"/>
    <w:rsid w:val="00415C19"/>
    <w:rsid w:val="00425A69"/>
    <w:rsid w:val="004543CC"/>
    <w:rsid w:val="0045716A"/>
    <w:rsid w:val="004738AC"/>
    <w:rsid w:val="0047516C"/>
    <w:rsid w:val="00484A77"/>
    <w:rsid w:val="00487D8B"/>
    <w:rsid w:val="004958BF"/>
    <w:rsid w:val="004A179E"/>
    <w:rsid w:val="004A5182"/>
    <w:rsid w:val="004A54FD"/>
    <w:rsid w:val="004B3CA3"/>
    <w:rsid w:val="004C78CD"/>
    <w:rsid w:val="004D25CB"/>
    <w:rsid w:val="004D6525"/>
    <w:rsid w:val="00501387"/>
    <w:rsid w:val="00506FC8"/>
    <w:rsid w:val="0051272D"/>
    <w:rsid w:val="0052113B"/>
    <w:rsid w:val="00535E3C"/>
    <w:rsid w:val="00546F44"/>
    <w:rsid w:val="005529D1"/>
    <w:rsid w:val="005657BA"/>
    <w:rsid w:val="00592039"/>
    <w:rsid w:val="00597262"/>
    <w:rsid w:val="005973E4"/>
    <w:rsid w:val="005A19AA"/>
    <w:rsid w:val="005A2191"/>
    <w:rsid w:val="005A2347"/>
    <w:rsid w:val="005D1806"/>
    <w:rsid w:val="005E41B1"/>
    <w:rsid w:val="005E5675"/>
    <w:rsid w:val="00621F56"/>
    <w:rsid w:val="0062758D"/>
    <w:rsid w:val="00631AE4"/>
    <w:rsid w:val="006553A1"/>
    <w:rsid w:val="00657051"/>
    <w:rsid w:val="0067719E"/>
    <w:rsid w:val="0067741B"/>
    <w:rsid w:val="00680CA2"/>
    <w:rsid w:val="00682DFD"/>
    <w:rsid w:val="00693E82"/>
    <w:rsid w:val="00697965"/>
    <w:rsid w:val="006A1C8E"/>
    <w:rsid w:val="006A36CE"/>
    <w:rsid w:val="006A7C51"/>
    <w:rsid w:val="006B0B87"/>
    <w:rsid w:val="006C0BE7"/>
    <w:rsid w:val="006C7661"/>
    <w:rsid w:val="006E4EE7"/>
    <w:rsid w:val="006F3414"/>
    <w:rsid w:val="00714FEA"/>
    <w:rsid w:val="00723CD9"/>
    <w:rsid w:val="00726CFA"/>
    <w:rsid w:val="007331FC"/>
    <w:rsid w:val="0075083A"/>
    <w:rsid w:val="00753848"/>
    <w:rsid w:val="00784042"/>
    <w:rsid w:val="00784CFA"/>
    <w:rsid w:val="007865AE"/>
    <w:rsid w:val="00790F23"/>
    <w:rsid w:val="007961A8"/>
    <w:rsid w:val="007A29DC"/>
    <w:rsid w:val="007A302F"/>
    <w:rsid w:val="007B1624"/>
    <w:rsid w:val="007C0A9E"/>
    <w:rsid w:val="007E42C9"/>
    <w:rsid w:val="007F2EBB"/>
    <w:rsid w:val="007F5E41"/>
    <w:rsid w:val="007F6A58"/>
    <w:rsid w:val="00813544"/>
    <w:rsid w:val="00840EAE"/>
    <w:rsid w:val="008414E0"/>
    <w:rsid w:val="00842C8E"/>
    <w:rsid w:val="00843C77"/>
    <w:rsid w:val="00847429"/>
    <w:rsid w:val="0085512D"/>
    <w:rsid w:val="00862642"/>
    <w:rsid w:val="008629B0"/>
    <w:rsid w:val="008675FD"/>
    <w:rsid w:val="00874D9E"/>
    <w:rsid w:val="008771E4"/>
    <w:rsid w:val="00883648"/>
    <w:rsid w:val="00885CF3"/>
    <w:rsid w:val="008A2549"/>
    <w:rsid w:val="008A386A"/>
    <w:rsid w:val="008B1041"/>
    <w:rsid w:val="008B372C"/>
    <w:rsid w:val="008F71B5"/>
    <w:rsid w:val="00900CA9"/>
    <w:rsid w:val="00901851"/>
    <w:rsid w:val="00910943"/>
    <w:rsid w:val="009218C3"/>
    <w:rsid w:val="009265EE"/>
    <w:rsid w:val="0093212F"/>
    <w:rsid w:val="009327FD"/>
    <w:rsid w:val="00955240"/>
    <w:rsid w:val="009622CE"/>
    <w:rsid w:val="009728A0"/>
    <w:rsid w:val="0098330C"/>
    <w:rsid w:val="00993BA5"/>
    <w:rsid w:val="0099494A"/>
    <w:rsid w:val="009A4419"/>
    <w:rsid w:val="009A6F87"/>
    <w:rsid w:val="009A77C2"/>
    <w:rsid w:val="009C2DBE"/>
    <w:rsid w:val="009C5774"/>
    <w:rsid w:val="009F7670"/>
    <w:rsid w:val="00A0533D"/>
    <w:rsid w:val="00A149A9"/>
    <w:rsid w:val="00A162E6"/>
    <w:rsid w:val="00A370CC"/>
    <w:rsid w:val="00A37B9E"/>
    <w:rsid w:val="00A46A40"/>
    <w:rsid w:val="00A5474E"/>
    <w:rsid w:val="00A63951"/>
    <w:rsid w:val="00A9326F"/>
    <w:rsid w:val="00A935A1"/>
    <w:rsid w:val="00AA1520"/>
    <w:rsid w:val="00AB2CBE"/>
    <w:rsid w:val="00AC640D"/>
    <w:rsid w:val="00AE4901"/>
    <w:rsid w:val="00AF434A"/>
    <w:rsid w:val="00AF69A2"/>
    <w:rsid w:val="00B01051"/>
    <w:rsid w:val="00B13CE3"/>
    <w:rsid w:val="00B148CE"/>
    <w:rsid w:val="00B244F7"/>
    <w:rsid w:val="00B268FB"/>
    <w:rsid w:val="00B35FB9"/>
    <w:rsid w:val="00B4431C"/>
    <w:rsid w:val="00B67D69"/>
    <w:rsid w:val="00B832C7"/>
    <w:rsid w:val="00B852C0"/>
    <w:rsid w:val="00B93EA4"/>
    <w:rsid w:val="00BA3FBB"/>
    <w:rsid w:val="00BC324D"/>
    <w:rsid w:val="00BD4326"/>
    <w:rsid w:val="00BD6016"/>
    <w:rsid w:val="00BE0E94"/>
    <w:rsid w:val="00BE31C9"/>
    <w:rsid w:val="00BE33C8"/>
    <w:rsid w:val="00BE45F3"/>
    <w:rsid w:val="00BF6879"/>
    <w:rsid w:val="00C030E5"/>
    <w:rsid w:val="00C04D6B"/>
    <w:rsid w:val="00C17EAE"/>
    <w:rsid w:val="00C34EF7"/>
    <w:rsid w:val="00C4352D"/>
    <w:rsid w:val="00C47860"/>
    <w:rsid w:val="00C63A3C"/>
    <w:rsid w:val="00C652AC"/>
    <w:rsid w:val="00C725D7"/>
    <w:rsid w:val="00C76492"/>
    <w:rsid w:val="00C809F9"/>
    <w:rsid w:val="00C8756E"/>
    <w:rsid w:val="00C96157"/>
    <w:rsid w:val="00CA294F"/>
    <w:rsid w:val="00CB72C6"/>
    <w:rsid w:val="00CC0525"/>
    <w:rsid w:val="00CC426E"/>
    <w:rsid w:val="00CF281E"/>
    <w:rsid w:val="00D22C65"/>
    <w:rsid w:val="00D230E7"/>
    <w:rsid w:val="00D259A6"/>
    <w:rsid w:val="00D30DF4"/>
    <w:rsid w:val="00D33BE9"/>
    <w:rsid w:val="00D342BC"/>
    <w:rsid w:val="00D4063B"/>
    <w:rsid w:val="00D50098"/>
    <w:rsid w:val="00D566BA"/>
    <w:rsid w:val="00D86702"/>
    <w:rsid w:val="00DA2A62"/>
    <w:rsid w:val="00DA3666"/>
    <w:rsid w:val="00DA46F0"/>
    <w:rsid w:val="00DC3027"/>
    <w:rsid w:val="00DC48DF"/>
    <w:rsid w:val="00DD7DAF"/>
    <w:rsid w:val="00DE0BC5"/>
    <w:rsid w:val="00DF5C95"/>
    <w:rsid w:val="00DF687B"/>
    <w:rsid w:val="00E06D99"/>
    <w:rsid w:val="00E16012"/>
    <w:rsid w:val="00E37AE7"/>
    <w:rsid w:val="00E44F38"/>
    <w:rsid w:val="00E5352A"/>
    <w:rsid w:val="00E7548E"/>
    <w:rsid w:val="00E9681D"/>
    <w:rsid w:val="00EA0894"/>
    <w:rsid w:val="00EA55A6"/>
    <w:rsid w:val="00EB186D"/>
    <w:rsid w:val="00EB3F63"/>
    <w:rsid w:val="00EB63B1"/>
    <w:rsid w:val="00EC3043"/>
    <w:rsid w:val="00EC6E85"/>
    <w:rsid w:val="00ED26D2"/>
    <w:rsid w:val="00EE21FA"/>
    <w:rsid w:val="00EE5CE0"/>
    <w:rsid w:val="00EF77B4"/>
    <w:rsid w:val="00F02084"/>
    <w:rsid w:val="00F03537"/>
    <w:rsid w:val="00F05C49"/>
    <w:rsid w:val="00F1414F"/>
    <w:rsid w:val="00F246A8"/>
    <w:rsid w:val="00F31566"/>
    <w:rsid w:val="00F32708"/>
    <w:rsid w:val="00F35BEA"/>
    <w:rsid w:val="00F50CC4"/>
    <w:rsid w:val="00F5310D"/>
    <w:rsid w:val="00F62228"/>
    <w:rsid w:val="00F63E61"/>
    <w:rsid w:val="00F84321"/>
    <w:rsid w:val="00FA3713"/>
    <w:rsid w:val="00FA4C42"/>
    <w:rsid w:val="00FB0AB4"/>
    <w:rsid w:val="00FC0BCB"/>
    <w:rsid w:val="00FC41ED"/>
    <w:rsid w:val="00FC49D8"/>
    <w:rsid w:val="00FC7A69"/>
    <w:rsid w:val="00FD171D"/>
    <w:rsid w:val="00FD1FF8"/>
    <w:rsid w:val="00FE3B28"/>
    <w:rsid w:val="00FF3C31"/>
    <w:rsid w:val="00FF469F"/>
    <w:rsid w:val="00FF4C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ffc000"/>
    </o:shapedefaults>
    <o:shapelayout v:ext="edit">
      <o:idmap v:ext="edit" data="1"/>
    </o:shapelayout>
  </w:shapeDefaults>
  <w:decimalSymbol w:val="."/>
  <w:listSeparator w:val=","/>
  <w14:docId w14:val="0B0ADE54"/>
  <w15:docId w15:val="{6EE000D5-F467-4258-ADFD-99D23623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D9"/>
  </w:style>
  <w:style w:type="paragraph" w:styleId="Heading1">
    <w:name w:val="heading 1"/>
    <w:basedOn w:val="Normal"/>
    <w:next w:val="BodyText"/>
    <w:link w:val="Heading1Char"/>
    <w:uiPriority w:val="9"/>
    <w:qFormat/>
    <w:rsid w:val="00D50098"/>
    <w:pPr>
      <w:keepNext/>
      <w:keepLines/>
      <w:spacing w:before="480" w:after="120"/>
      <w:outlineLvl w:val="0"/>
    </w:pPr>
    <w:rPr>
      <w:rFonts w:asciiTheme="majorHAnsi" w:eastAsiaTheme="majorEastAsia" w:hAnsiTheme="majorHAnsi" w:cstheme="majorBidi"/>
      <w:bCs/>
      <w:sz w:val="3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098"/>
    <w:rPr>
      <w:rFonts w:asciiTheme="majorHAnsi" w:eastAsiaTheme="majorEastAsia" w:hAnsiTheme="majorHAnsi" w:cstheme="majorBidi"/>
      <w:bCs/>
      <w:sz w:val="30"/>
      <w:szCs w:val="28"/>
      <w:lang w:val="en-GB"/>
    </w:rPr>
  </w:style>
  <w:style w:type="paragraph" w:styleId="Header">
    <w:name w:val="header"/>
    <w:basedOn w:val="Normal"/>
    <w:link w:val="HeaderChar"/>
    <w:uiPriority w:val="99"/>
    <w:unhideWhenUsed/>
    <w:rsid w:val="00D50098"/>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D50098"/>
    <w:rPr>
      <w:color w:val="000000" w:themeColor="text1"/>
      <w:sz w:val="20"/>
      <w:lang w:val="en-GB"/>
    </w:rPr>
  </w:style>
  <w:style w:type="paragraph" w:styleId="Footer">
    <w:name w:val="footer"/>
    <w:aliases w:val="Footer small"/>
    <w:basedOn w:val="Normal"/>
    <w:link w:val="FooterChar"/>
    <w:uiPriority w:val="99"/>
    <w:rsid w:val="00D50098"/>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D50098"/>
    <w:rPr>
      <w:color w:val="000000" w:themeColor="text1"/>
      <w:sz w:val="17"/>
      <w:lang w:val="en-GB"/>
    </w:rPr>
  </w:style>
  <w:style w:type="paragraph" w:styleId="BodyText">
    <w:name w:val="Body Text"/>
    <w:basedOn w:val="Normal"/>
    <w:link w:val="BodyTextChar"/>
    <w:uiPriority w:val="2"/>
    <w:qFormat/>
    <w:rsid w:val="00D50098"/>
    <w:pPr>
      <w:spacing w:before="200" w:line="240" w:lineRule="auto"/>
    </w:pPr>
    <w:rPr>
      <w:color w:val="000000" w:themeColor="text1"/>
      <w:sz w:val="20"/>
    </w:rPr>
  </w:style>
  <w:style w:type="character" w:customStyle="1" w:styleId="BodyTextChar">
    <w:name w:val="Body Text Char"/>
    <w:basedOn w:val="DefaultParagraphFont"/>
    <w:link w:val="BodyText"/>
    <w:uiPriority w:val="2"/>
    <w:rsid w:val="00D50098"/>
    <w:rPr>
      <w:color w:val="000000" w:themeColor="text1"/>
      <w:sz w:val="20"/>
    </w:rPr>
  </w:style>
  <w:style w:type="table" w:styleId="TableGrid">
    <w:name w:val="Table Grid"/>
    <w:basedOn w:val="TableNormal"/>
    <w:uiPriority w:val="59"/>
    <w:rsid w:val="00D500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wCarbonEmphasis">
    <w:name w:val="LowCarbonEmphasis"/>
    <w:basedOn w:val="BodyText"/>
    <w:qFormat/>
    <w:rsid w:val="00D50098"/>
    <w:pPr>
      <w:tabs>
        <w:tab w:val="left" w:pos="244"/>
      </w:tabs>
      <w:spacing w:before="0" w:after="0" w:line="280" w:lineRule="atLeast"/>
    </w:pPr>
    <w:rPr>
      <w:color w:val="4F81BD" w:themeColor="accent1"/>
    </w:rPr>
  </w:style>
  <w:style w:type="paragraph" w:styleId="Caption">
    <w:name w:val="caption"/>
    <w:basedOn w:val="Normal"/>
    <w:next w:val="Normal"/>
    <w:uiPriority w:val="35"/>
    <w:unhideWhenUsed/>
    <w:qFormat/>
    <w:rsid w:val="00D50098"/>
    <w:pPr>
      <w:spacing w:line="240" w:lineRule="auto"/>
    </w:pPr>
    <w:rPr>
      <w:b/>
      <w:bCs/>
      <w:color w:val="4F81BD" w:themeColor="accent1"/>
      <w:sz w:val="18"/>
      <w:szCs w:val="18"/>
    </w:rPr>
  </w:style>
  <w:style w:type="paragraph" w:styleId="ListParagraph">
    <w:name w:val="List Paragraph"/>
    <w:basedOn w:val="Normal"/>
    <w:uiPriority w:val="34"/>
    <w:qFormat/>
    <w:rsid w:val="00D50098"/>
    <w:pPr>
      <w:spacing w:after="0" w:line="240" w:lineRule="auto"/>
      <w:ind w:left="720"/>
      <w:contextualSpacing/>
    </w:pPr>
    <w:rPr>
      <w:color w:val="000000" w:themeColor="text1"/>
      <w:sz w:val="20"/>
      <w:lang w:val="en-GB"/>
    </w:rPr>
  </w:style>
  <w:style w:type="paragraph" w:styleId="BalloonText">
    <w:name w:val="Balloon Text"/>
    <w:basedOn w:val="Normal"/>
    <w:link w:val="BalloonTextChar"/>
    <w:uiPriority w:val="99"/>
    <w:semiHidden/>
    <w:unhideWhenUsed/>
    <w:rsid w:val="00D50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98"/>
    <w:rPr>
      <w:rFonts w:ascii="Tahoma" w:hAnsi="Tahoma" w:cs="Tahoma"/>
      <w:sz w:val="16"/>
      <w:szCs w:val="16"/>
    </w:rPr>
  </w:style>
  <w:style w:type="character" w:styleId="CommentReference">
    <w:name w:val="annotation reference"/>
    <w:basedOn w:val="DefaultParagraphFont"/>
    <w:uiPriority w:val="99"/>
    <w:semiHidden/>
    <w:unhideWhenUsed/>
    <w:rsid w:val="001E265A"/>
    <w:rPr>
      <w:sz w:val="16"/>
      <w:szCs w:val="16"/>
    </w:rPr>
  </w:style>
  <w:style w:type="paragraph" w:styleId="CommentText">
    <w:name w:val="annotation text"/>
    <w:basedOn w:val="Normal"/>
    <w:link w:val="CommentTextChar"/>
    <w:uiPriority w:val="99"/>
    <w:semiHidden/>
    <w:unhideWhenUsed/>
    <w:rsid w:val="001E265A"/>
    <w:pPr>
      <w:spacing w:line="240" w:lineRule="auto"/>
    </w:pPr>
    <w:rPr>
      <w:sz w:val="20"/>
      <w:szCs w:val="20"/>
    </w:rPr>
  </w:style>
  <w:style w:type="character" w:customStyle="1" w:styleId="CommentTextChar">
    <w:name w:val="Comment Text Char"/>
    <w:basedOn w:val="DefaultParagraphFont"/>
    <w:link w:val="CommentText"/>
    <w:uiPriority w:val="99"/>
    <w:semiHidden/>
    <w:rsid w:val="001E265A"/>
    <w:rPr>
      <w:sz w:val="20"/>
      <w:szCs w:val="20"/>
    </w:rPr>
  </w:style>
  <w:style w:type="paragraph" w:styleId="CommentSubject">
    <w:name w:val="annotation subject"/>
    <w:basedOn w:val="CommentText"/>
    <w:next w:val="CommentText"/>
    <w:link w:val="CommentSubjectChar"/>
    <w:uiPriority w:val="99"/>
    <w:semiHidden/>
    <w:unhideWhenUsed/>
    <w:rsid w:val="001E265A"/>
    <w:rPr>
      <w:b/>
      <w:bCs/>
    </w:rPr>
  </w:style>
  <w:style w:type="character" w:customStyle="1" w:styleId="CommentSubjectChar">
    <w:name w:val="Comment Subject Char"/>
    <w:basedOn w:val="CommentTextChar"/>
    <w:link w:val="CommentSubject"/>
    <w:uiPriority w:val="99"/>
    <w:semiHidden/>
    <w:rsid w:val="001E265A"/>
    <w:rPr>
      <w:b/>
      <w:bCs/>
      <w:sz w:val="20"/>
      <w:szCs w:val="20"/>
    </w:rPr>
  </w:style>
  <w:style w:type="paragraph" w:styleId="Revision">
    <w:name w:val="Revision"/>
    <w:hidden/>
    <w:uiPriority w:val="99"/>
    <w:semiHidden/>
    <w:rsid w:val="00900CA9"/>
    <w:pPr>
      <w:spacing w:after="0" w:line="240" w:lineRule="auto"/>
    </w:pPr>
  </w:style>
  <w:style w:type="character" w:styleId="Emphasis">
    <w:name w:val="Emphasis"/>
    <w:basedOn w:val="DefaultParagraphFont"/>
    <w:uiPriority w:val="20"/>
    <w:qFormat/>
    <w:rsid w:val="00840EAE"/>
    <w:rPr>
      <w:i/>
      <w:iCs/>
      <w:bdr w:val="none" w:sz="0" w:space="0" w:color="auto" w:frame="1"/>
      <w:vertAlign w:val="baseline"/>
    </w:rPr>
  </w:style>
  <w:style w:type="paragraph" w:customStyle="1" w:styleId="Tabletext">
    <w:name w:val="Table text"/>
    <w:basedOn w:val="BodyText"/>
    <w:uiPriority w:val="1"/>
    <w:qFormat/>
    <w:rsid w:val="00484A77"/>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6029">
      <w:bodyDiv w:val="1"/>
      <w:marLeft w:val="0"/>
      <w:marRight w:val="0"/>
      <w:marTop w:val="0"/>
      <w:marBottom w:val="0"/>
      <w:divBdr>
        <w:top w:val="none" w:sz="0" w:space="0" w:color="auto"/>
        <w:left w:val="none" w:sz="0" w:space="0" w:color="auto"/>
        <w:bottom w:val="none" w:sz="0" w:space="0" w:color="auto"/>
        <w:right w:val="none" w:sz="0" w:space="0" w:color="auto"/>
      </w:divBdr>
    </w:div>
    <w:div w:id="1581527576">
      <w:bodyDiv w:val="1"/>
      <w:marLeft w:val="0"/>
      <w:marRight w:val="0"/>
      <w:marTop w:val="0"/>
      <w:marBottom w:val="0"/>
      <w:divBdr>
        <w:top w:val="none" w:sz="0" w:space="0" w:color="auto"/>
        <w:left w:val="none" w:sz="0" w:space="0" w:color="auto"/>
        <w:bottom w:val="none" w:sz="0" w:space="0" w:color="auto"/>
        <w:right w:val="none" w:sz="0" w:space="0" w:color="auto"/>
      </w:divBdr>
    </w:div>
    <w:div w:id="1630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cordNumber xmlns="d8430d0f-47e2-4fb7-b3bb-dd4f7c79b414">001605736</RecordNumber>
    <Approval xmlns="d8430d0f-47e2-4fb7-b3bb-dd4f7c79b414" xsi:nil="true"/>
    <Function xmlns="d8430d0f-47e2-4fb7-b3bb-dd4f7c79b414" xsi:nil="true"/>
    <DocumentDescription xmlns="d8430d0f-47e2-4fb7-b3bb-dd4f7c79b414"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53158623521E02459344FD72CDD99ED6010012F06D5EF7C1F940BA3F5F55BFD81E64" ma:contentTypeVersion="4" ma:contentTypeDescription="Create a new Word Document" ma:contentTypeScope="" ma:versionID="598976e409287a5be0cbce3fd809c301">
  <xsd:schema xmlns:xsd="http://www.w3.org/2001/XMLSchema" xmlns:xs="http://www.w3.org/2001/XMLSchema" xmlns:p="http://schemas.microsoft.com/office/2006/metadata/properties" xmlns:ns2="d8430d0f-47e2-4fb7-b3bb-dd4f7c79b414" targetNamespace="http://schemas.microsoft.com/office/2006/metadata/properties" ma:root="true" ma:fieldsID="d7ea9ceeb0587fdc3e9454314ea2ebb9" ns2:_="">
    <xsd:import namespace="d8430d0f-47e2-4fb7-b3bb-dd4f7c79b414"/>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Climate Change"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95B41-D03D-4C66-8B27-1709A443F4DA}"/>
</file>

<file path=customXml/itemProps2.xml><?xml version="1.0" encoding="utf-8"?>
<ds:datastoreItem xmlns:ds="http://schemas.openxmlformats.org/officeDocument/2006/customXml" ds:itemID="{FB8BCBB1-25F9-4470-9C03-C042AF816B17}"/>
</file>

<file path=customXml/itemProps3.xml><?xml version="1.0" encoding="utf-8"?>
<ds:datastoreItem xmlns:ds="http://schemas.openxmlformats.org/officeDocument/2006/customXml" ds:itemID="{F63CB2D8-C284-4178-BE91-5A88A7C43163}"/>
</file>

<file path=customXml/itemProps4.xml><?xml version="1.0" encoding="utf-8"?>
<ds:datastoreItem xmlns:ds="http://schemas.openxmlformats.org/officeDocument/2006/customXml" ds:itemID="{71B2E499-1DF8-4A65-8A9E-D8484BC8F7F7}"/>
</file>

<file path=customXml/itemProps5.xml><?xml version="1.0" encoding="utf-8"?>
<ds:datastoreItem xmlns:ds="http://schemas.openxmlformats.org/officeDocument/2006/customXml" ds:itemID="{C5861165-BD14-4BEC-BA81-DD1A0C33CAE5}"/>
</file>

<file path=customXml/itemProps6.xml><?xml version="1.0" encoding="utf-8"?>
<ds:datastoreItem xmlns:ds="http://schemas.openxmlformats.org/officeDocument/2006/customXml" ds:itemID="{20778078-3D76-4390-8152-0F218EA833E3}"/>
</file>

<file path=docProps/app.xml><?xml version="1.0" encoding="utf-8"?>
<Properties xmlns="http://schemas.openxmlformats.org/officeDocument/2006/extended-properties" xmlns:vt="http://schemas.openxmlformats.org/officeDocument/2006/docPropsVTypes">
  <Template>577907AD</Template>
  <TotalTime>1</TotalTime>
  <Pages>8</Pages>
  <Words>1749</Words>
  <Characters>9970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 Year 2 2015-16 - Public Disclosure Summary</dc:title>
  <dc:creator>A18087</dc:creator>
  <cp:lastModifiedBy>Raftopoulos, Daniel</cp:lastModifiedBy>
  <cp:revision>2</cp:revision>
  <cp:lastPrinted>2017-01-22T21:56:00Z</cp:lastPrinted>
  <dcterms:created xsi:type="dcterms:W3CDTF">2017-04-04T04:21:00Z</dcterms:created>
  <dcterms:modified xsi:type="dcterms:W3CDTF">2017-04-04T04:21:00Z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0x01010053158623521E02459344FD72CDD99ED6010012F06D5EF7C1F940BA3F5F55BFD81E64</vt:lpwstr>
  </property>
  <property fmtid="{D5CDD505-2E9C-101B-9397-08002B2CF9AE}" pid="3" name="RecordPoint_WorkflowType">
    <vt:lpwstr>ActiveSubmitStub</vt:lpwstr>
  </property>
  <property fmtid="{D5CDD505-2E9C-101B-9397-08002B2CF9AE}" pid="4" name="RecordPoint_ActiveItemSiteId">
    <vt:lpwstr>{65a9c67d-8621-4daf-8c18-51b91f4b20f6}</vt:lpwstr>
  </property>
  <property fmtid="{D5CDD505-2E9C-101B-9397-08002B2CF9AE}" pid="5" name="RecordPoint_ActiveItemListId">
    <vt:lpwstr>{77c86d5f-afe9-4a64-b462-2befe847db67}</vt:lpwstr>
  </property>
  <property fmtid="{D5CDD505-2E9C-101B-9397-08002B2CF9AE}" pid="6" name="RecordPoint_ActiveItemUniqueId">
    <vt:lpwstr>{1bf7f0c4-8d7d-48a5-8225-56b5f1d81169}</vt:lpwstr>
  </property>
  <property fmtid="{D5CDD505-2E9C-101B-9397-08002B2CF9AE}" pid="7" name="RecordPoint_ActiveItemWebId">
    <vt:lpwstr>{de5decc4-de20-44b0-8aaf-32f35ac57d76}</vt:lpwstr>
  </property>
  <property fmtid="{D5CDD505-2E9C-101B-9397-08002B2CF9AE}" pid="8" name="RecordPoint_RecordNumberSubmitted">
    <vt:lpwstr>001605736</vt:lpwstr>
  </property>
  <property fmtid="{D5CDD505-2E9C-101B-9397-08002B2CF9AE}" pid="9" name="IconOverlay">
    <vt:lpwstr/>
  </property>
  <property fmtid="{D5CDD505-2E9C-101B-9397-08002B2CF9AE}" pid="10" name="RecordPoint_SubmissionCompleted">
    <vt:lpwstr>2017-04-25T16:19:48.1740326+10:00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